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3301"/>
        <w:gridCol w:w="68"/>
        <w:gridCol w:w="159"/>
        <w:gridCol w:w="1368"/>
        <w:gridCol w:w="19"/>
        <w:gridCol w:w="177"/>
        <w:gridCol w:w="992"/>
        <w:gridCol w:w="237"/>
        <w:gridCol w:w="144"/>
        <w:gridCol w:w="15"/>
        <w:gridCol w:w="12"/>
        <w:gridCol w:w="3079"/>
      </w:tblGrid>
      <w:tr w:rsidR="00062C09" w:rsidTr="00922502">
        <w:tc>
          <w:tcPr>
            <w:tcW w:w="9571" w:type="dxa"/>
            <w:gridSpan w:val="12"/>
            <w:tcBorders>
              <w:top w:val="nil"/>
              <w:left w:val="nil"/>
              <w:right w:val="nil"/>
            </w:tcBorders>
          </w:tcPr>
          <w:p w:rsidR="00922502" w:rsidRDefault="00922502" w:rsidP="00922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502">
              <w:rPr>
                <w:rFonts w:ascii="Times New Roman" w:hAnsi="Times New Roman" w:cs="Times New Roman"/>
                <w:b/>
                <w:sz w:val="28"/>
                <w:szCs w:val="28"/>
              </w:rPr>
              <w:t>Сводный отчет</w:t>
            </w:r>
          </w:p>
          <w:p w:rsidR="00062C09" w:rsidRDefault="00922502" w:rsidP="00922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5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проведении оценки регулирующего воздействия проекта нормативного правового акт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225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Каратузского района</w:t>
            </w:r>
          </w:p>
          <w:p w:rsidR="002815C1" w:rsidRPr="00922502" w:rsidRDefault="002815C1" w:rsidP="00922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3569A3" w:rsidRDefault="00922502" w:rsidP="00CE0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9A3">
              <w:rPr>
                <w:rFonts w:ascii="Times New Roman" w:hAnsi="Times New Roman" w:cs="Times New Roman"/>
                <w:b/>
                <w:sz w:val="24"/>
                <w:szCs w:val="24"/>
              </w:rPr>
              <w:t>1. Общая информация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062C09" w:rsidRDefault="0092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Орган разработчик (инициатор нормативного правового акта Каратузского района): администрация Каратузского района (отдел экономики, производства и развития предпринимательства), 662850, с. Каратузское, ул. Советская, 21 8(391)3721837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B70E5E" w:rsidRPr="00B70E5E" w:rsidRDefault="00922502" w:rsidP="00B70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нормативного правового акта: </w:t>
            </w:r>
            <w:r w:rsidR="00B70E5E" w:rsidRPr="00B7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Регламента сопровождения инвестиционных проектов по принципу «одного окна», реализуемых и (или) планируемых к реализации на территории Каратузского района»</w:t>
            </w:r>
          </w:p>
          <w:p w:rsidR="00922502" w:rsidRPr="00062C09" w:rsidRDefault="00922502" w:rsidP="0042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502" w:rsidTr="00922502">
        <w:tc>
          <w:tcPr>
            <w:tcW w:w="5092" w:type="dxa"/>
            <w:gridSpan w:val="6"/>
          </w:tcPr>
          <w:p w:rsidR="00922502" w:rsidRPr="00062C09" w:rsidRDefault="00922502" w:rsidP="0084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Срок проведения публичных консультаций: </w:t>
            </w:r>
          </w:p>
        </w:tc>
        <w:tc>
          <w:tcPr>
            <w:tcW w:w="4479" w:type="dxa"/>
            <w:gridSpan w:val="6"/>
          </w:tcPr>
          <w:p w:rsidR="00922502" w:rsidRPr="00062C09" w:rsidRDefault="00922502" w:rsidP="009A5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B0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="009A50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436B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A50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36B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97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36B0">
              <w:rPr>
                <w:rFonts w:ascii="Times New Roman" w:hAnsi="Times New Roman" w:cs="Times New Roman"/>
                <w:sz w:val="24"/>
                <w:szCs w:val="24"/>
              </w:rPr>
              <w:t xml:space="preserve"> года                       Окончание</w:t>
            </w:r>
            <w:r w:rsidR="00697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0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436B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A50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36B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97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36B0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A50DF" w:rsidRPr="009A50DF" w:rsidRDefault="00922502" w:rsidP="009A50DF">
            <w:pPr>
              <w:widowControl w:val="0"/>
              <w:autoSpaceDE w:val="0"/>
              <w:autoSpaceDN w:val="0"/>
              <w:adjustRightInd w:val="0"/>
              <w:spacing w:line="367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Полный электронный адрес размещения уведомления о проведении публичных консультаций с приложением материалов: </w:t>
            </w:r>
            <w:hyperlink r:id="rId7" w:history="1">
              <w:r w:rsidR="009A50DF" w:rsidRPr="009A50D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https://karatuzraion.gosuslugi.ru/ofitsialno/otsenka-reguliruyuschego-ozdeystviya/</w:t>
              </w:r>
            </w:hyperlink>
          </w:p>
          <w:p w:rsidR="00922502" w:rsidRPr="00062C09" w:rsidRDefault="00922502" w:rsidP="00422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3569A3" w:rsidRDefault="00922502" w:rsidP="003569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9A3">
              <w:rPr>
                <w:rFonts w:ascii="Times New Roman" w:hAnsi="Times New Roman" w:cs="Times New Roman"/>
                <w:b/>
                <w:sz w:val="24"/>
                <w:szCs w:val="24"/>
              </w:rPr>
              <w:t>2. Описание проблемы, на решение которой направлен предлагаемый способ регулирования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A50DF" w:rsidRPr="00B70E5E" w:rsidRDefault="00922502" w:rsidP="009A5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A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проблемы, на решение которой направлен </w:t>
            </w:r>
            <w:r w:rsidR="009A50DF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Каратузского района </w:t>
            </w:r>
            <w:r w:rsidR="009A50DF" w:rsidRPr="00B7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Регламента сопровождения инвестиционных проектов по принципу «одного окна», реализуемых и (или) планируемых к реализации на территории Каратузского района»</w:t>
            </w:r>
          </w:p>
          <w:p w:rsidR="00922502" w:rsidRPr="00062C09" w:rsidRDefault="00922502" w:rsidP="0042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062C09" w:rsidRDefault="00922502" w:rsidP="00356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Оценка негативных эффектов, возникающих в связи с наличием рассматриваемой проблемы:  отсутствует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Default="00922502" w:rsidP="00356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Иная информация о проблеме: отсутствует.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Default="00922502" w:rsidP="00356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Анализ опыта иных субъектов Российской Федерации в соответствующих сферах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0465B3" w:rsidRPr="000465B3" w:rsidRDefault="000465B3" w:rsidP="000465B3">
            <w:pPr>
              <w:pStyle w:val="a9"/>
              <w:shd w:val="clear" w:color="auto" w:fill="FFFFFF"/>
              <w:spacing w:after="450" w:afterAutospacing="0" w:line="360" w:lineRule="atLeast"/>
              <w:jc w:val="both"/>
              <w:rPr>
                <w:color w:val="242423"/>
              </w:rPr>
            </w:pPr>
            <w:r w:rsidRPr="000465B3">
              <w:rPr>
                <w:color w:val="242423"/>
              </w:rPr>
              <w:t xml:space="preserve">Беспрецедентные международные санкции требовали в ушедшем году и продолжают требовать сейчас выработки новых стратегических решений на всех уровнях власти. Социально-экономическое развитие регионов трансформируется и на фоне этого очень важно органам власти сохранить и обеспечить инвестиционную привлекательность территорий. Проблема </w:t>
            </w:r>
            <w:proofErr w:type="spellStart"/>
            <w:r w:rsidRPr="000465B3">
              <w:rPr>
                <w:color w:val="242423"/>
              </w:rPr>
              <w:t>импортозамещения</w:t>
            </w:r>
            <w:proofErr w:type="spellEnd"/>
            <w:r w:rsidRPr="000465B3">
              <w:rPr>
                <w:color w:val="242423"/>
              </w:rPr>
              <w:t xml:space="preserve"> заставила принимать срочные меры по переориентации инвестиционных потоков. Западные приграничные регионы стали более рискованными для вложения инвестиционного капитала, ухудшились логистические цепочки на фоне ограничения авиасообщения с ними.</w:t>
            </w:r>
            <w:r>
              <w:rPr>
                <w:color w:val="242423"/>
              </w:rPr>
              <w:t xml:space="preserve"> </w:t>
            </w:r>
            <w:r w:rsidRPr="000465B3">
              <w:rPr>
                <w:color w:val="242423"/>
              </w:rPr>
              <w:t xml:space="preserve">Тем не менее совокупно принимаемые антикризисные меры поддержки как на федеральном, так и на региональных уровнях позволили большинству регионов сохранить свои позиции, а в ряде случаев и улучшить. Преимущественно шаг движения составил не более чем один уровень как в положительную, так и в отрицательную сторону. 23 региона улучшили свои позиции: Приморский, Камчатский, Пермский края, Ленинградская, Смоленская, Липецкая, Калининградская, Свердловская, Саратовская, Ярославская, Амурская, Тюменская, Тверская, Новгородская, Тульская, Омская, Нижегородская, Новосибирская, Ульяновская области, Республика Карелия, Чувашская, Кабардино-Балкарская </w:t>
            </w:r>
            <w:r w:rsidRPr="000465B3">
              <w:rPr>
                <w:color w:val="242423"/>
              </w:rPr>
              <w:lastRenderedPageBreak/>
              <w:t>Республики, Ненецкий автономный округ.</w:t>
            </w:r>
          </w:p>
          <w:p w:rsidR="00922502" w:rsidRPr="000465B3" w:rsidRDefault="00922502" w:rsidP="0004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340404" w:rsidRDefault="00922502" w:rsidP="003404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4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Цели предлагаемого регулирования и их соответствие принципам правового регулирование</w:t>
            </w:r>
          </w:p>
        </w:tc>
      </w:tr>
      <w:tr w:rsidR="00922502" w:rsidTr="00922502">
        <w:tc>
          <w:tcPr>
            <w:tcW w:w="4915" w:type="dxa"/>
            <w:gridSpan w:val="5"/>
          </w:tcPr>
          <w:p w:rsidR="00922502" w:rsidRPr="002A2760" w:rsidRDefault="00922502" w:rsidP="00DD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Pr="002A2760">
              <w:rPr>
                <w:rFonts w:ascii="Times New Roman" w:hAnsi="Times New Roman" w:cs="Times New Roman"/>
                <w:sz w:val="24"/>
                <w:szCs w:val="24"/>
              </w:rPr>
              <w:t>Цели предполаг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2760">
              <w:rPr>
                <w:rFonts w:ascii="Times New Roman" w:hAnsi="Times New Roman" w:cs="Times New Roman"/>
                <w:sz w:val="24"/>
                <w:szCs w:val="24"/>
              </w:rPr>
              <w:t>емого регулирования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D29F8" w:rsidRPr="00DD29F8">
              <w:rPr>
                <w:rFonts w:ascii="Times New Roman" w:hAnsi="Times New Roman" w:cs="Times New Roman"/>
                <w:sz w:val="24"/>
                <w:szCs w:val="24"/>
              </w:rPr>
              <w:t>утверждени</w:t>
            </w:r>
            <w:r w:rsidR="00DD29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D29F8" w:rsidRPr="00DD29F8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Регламента сопровождения инвестиционных проектов по принципу «одного окна», реализуемых и (или) планируемых к реализации на территории Каратузского района</w:t>
            </w:r>
          </w:p>
        </w:tc>
        <w:tc>
          <w:tcPr>
            <w:tcW w:w="4656" w:type="dxa"/>
            <w:gridSpan w:val="7"/>
          </w:tcPr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60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 достижения целей: с момента вступления в силу постановления администрации Каратузского района</w:t>
            </w:r>
          </w:p>
          <w:p w:rsidR="00922502" w:rsidRPr="002A2760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502" w:rsidTr="00922502">
        <w:tc>
          <w:tcPr>
            <w:tcW w:w="9571" w:type="dxa"/>
            <w:gridSpan w:val="12"/>
          </w:tcPr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E34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соответствующей сфере (области) государственного управления, которые определяют необходимость постановки указанных целей:</w:t>
            </w:r>
          </w:p>
          <w:p w:rsidR="00922502" w:rsidRPr="00FF0342" w:rsidRDefault="00922502" w:rsidP="003404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F0342" w:rsidRPr="002C5EDB"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от 11.07.2019 № 7-2919 «Об инвестиционной политике в Красноярском крае»</w:t>
            </w:r>
            <w:r w:rsidRPr="00FF0342">
              <w:rPr>
                <w:rFonts w:ascii="Times New Roman" w:hAnsi="Times New Roman" w:cs="Times New Roman"/>
              </w:rPr>
              <w:t>;</w:t>
            </w:r>
          </w:p>
          <w:p w:rsidR="00922502" w:rsidRPr="00D27E34" w:rsidRDefault="00922502" w:rsidP="00680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-постановление администрации Каратузского района от </w:t>
            </w:r>
            <w:r w:rsidR="00680C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A0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0C2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A087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80C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A087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80C2A">
              <w:rPr>
                <w:rFonts w:ascii="Times New Roman" w:hAnsi="Times New Roman" w:cs="Times New Roman"/>
                <w:sz w:val="24"/>
                <w:szCs w:val="24"/>
              </w:rPr>
              <w:t xml:space="preserve"> 176</w:t>
            </w:r>
            <w:r w:rsidRPr="00CA0874">
              <w:rPr>
                <w:rFonts w:ascii="Times New Roman" w:hAnsi="Times New Roman" w:cs="Times New Roman"/>
                <w:sz w:val="24"/>
                <w:szCs w:val="24"/>
              </w:rPr>
              <w:t xml:space="preserve">-п </w:t>
            </w:r>
            <w:r w:rsidR="00680C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0C2A" w:rsidRPr="00680C2A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муниципального инвестиционного стандарта Каратузского района</w:t>
            </w:r>
            <w:r w:rsidR="00680C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89229D" w:rsidRDefault="00922502" w:rsidP="003404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29D">
              <w:rPr>
                <w:rFonts w:ascii="Times New Roman" w:hAnsi="Times New Roman" w:cs="Times New Roman"/>
                <w:b/>
                <w:sz w:val="24"/>
                <w:szCs w:val="24"/>
              </w:rPr>
              <w:t>5. Описание предлагаемого регулирования и иных возможных способов решения проблемы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18"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выбора предпочтительного варианта предлагаемого правового регулирования выявленной проблемы (предлагаемого способа регулирования): Утверждается </w:t>
            </w:r>
            <w:r w:rsidR="002C5EDB">
              <w:rPr>
                <w:rFonts w:ascii="Times New Roman" w:hAnsi="Times New Roman" w:cs="Times New Roman"/>
                <w:sz w:val="24"/>
                <w:szCs w:val="24"/>
              </w:rPr>
              <w:t>Регламент взаимодействие администрации Каратузского района с инвесторами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2502" w:rsidRPr="002D0118" w:rsidRDefault="00922502" w:rsidP="002C5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Детальное описание предлагаемого варианта решения проблемы: Предлагается утвердить</w:t>
            </w:r>
            <w:r w:rsidR="002C5EDB" w:rsidRPr="002C5EDB">
              <w:rPr>
                <w:rFonts w:ascii="Times New Roman" w:hAnsi="Times New Roman" w:cs="Times New Roman"/>
                <w:sz w:val="24"/>
                <w:szCs w:val="24"/>
              </w:rPr>
              <w:tab/>
              <w:t>Регламент сопровождения инвестиционных проектов по принципу «одного окна», реализуемых и (или) планируемых к реализации на территории Каратузского района, направлен на обеспечение благоприятного инвестиционного климата, в целях снижения административных барьеров при реализации инвестиционных проектов на территории Каратузского района Красноярского края.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Default="00922502" w:rsidP="00EA3B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Качественная характеристика и оценка численности потенциальных адресатов предлагаемого правового урегулирования (их групп)</w:t>
            </w:r>
          </w:p>
        </w:tc>
      </w:tr>
      <w:tr w:rsidR="00922502" w:rsidTr="00922502">
        <w:tc>
          <w:tcPr>
            <w:tcW w:w="3301" w:type="dxa"/>
          </w:tcPr>
          <w:p w:rsidR="00922502" w:rsidRPr="00EA3B67" w:rsidRDefault="00922502" w:rsidP="00EA3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67"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A3B67">
              <w:rPr>
                <w:rFonts w:ascii="Times New Roman" w:hAnsi="Times New Roman" w:cs="Times New Roman"/>
                <w:sz w:val="24"/>
                <w:szCs w:val="24"/>
              </w:rPr>
              <w:t>руппы потенциальных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адресатов предполагаемого правового регулирования: субъекты малого и среднего предпринимательства, самозанятые граждане</w:t>
            </w:r>
          </w:p>
        </w:tc>
        <w:tc>
          <w:tcPr>
            <w:tcW w:w="3020" w:type="dxa"/>
            <w:gridSpan w:val="7"/>
          </w:tcPr>
          <w:p w:rsidR="00922502" w:rsidRPr="00EA3B67" w:rsidRDefault="00922502" w:rsidP="00EA3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67">
              <w:rPr>
                <w:rFonts w:ascii="Times New Roman" w:hAnsi="Times New Roman" w:cs="Times New Roman"/>
                <w:sz w:val="24"/>
                <w:szCs w:val="24"/>
              </w:rPr>
              <w:t>6.2. Количество участников группы:</w:t>
            </w:r>
          </w:p>
          <w:p w:rsidR="00922502" w:rsidRPr="00EA3B67" w:rsidRDefault="00922502" w:rsidP="00EA3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6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50" w:type="dxa"/>
            <w:gridSpan w:val="4"/>
          </w:tcPr>
          <w:p w:rsidR="00922502" w:rsidRDefault="00922502" w:rsidP="00EA3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Источники данных:</w:t>
            </w:r>
          </w:p>
          <w:p w:rsidR="00922502" w:rsidRPr="00EA3B67" w:rsidRDefault="00922502" w:rsidP="00EA3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EA3B67" w:rsidRDefault="00922502" w:rsidP="003404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67">
              <w:rPr>
                <w:rFonts w:ascii="Times New Roman" w:hAnsi="Times New Roman" w:cs="Times New Roman"/>
                <w:b/>
                <w:sz w:val="24"/>
                <w:szCs w:val="24"/>
              </w:rPr>
              <w:t>7. Новые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функции, полномочия, обязанности, права органов местного самоуправления муниципальных образований Красноярского края или сведения об их изменении, а также порядок их реализации и связи с введением предлагаемого правового регулирования</w:t>
            </w:r>
          </w:p>
        </w:tc>
      </w:tr>
      <w:tr w:rsidR="00922502" w:rsidTr="00922502">
        <w:tc>
          <w:tcPr>
            <w:tcW w:w="3369" w:type="dxa"/>
            <w:gridSpan w:val="2"/>
          </w:tcPr>
          <w:p w:rsidR="00922502" w:rsidRDefault="00922502" w:rsidP="00EA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67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функции </w:t>
            </w:r>
          </w:p>
          <w:p w:rsidR="00922502" w:rsidRPr="00EA3B67" w:rsidRDefault="00922502" w:rsidP="00EA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096" w:type="dxa"/>
            <w:gridSpan w:val="7"/>
          </w:tcPr>
          <w:p w:rsidR="00922502" w:rsidRPr="00EA3B67" w:rsidRDefault="00922502" w:rsidP="00EA3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 Характер функции (новая/изменяется/отменяемая) полномочия, обязанности, права органов местного самоуправления муниципальных образований Красноярского края отсутствует</w:t>
            </w:r>
          </w:p>
        </w:tc>
        <w:tc>
          <w:tcPr>
            <w:tcW w:w="3106" w:type="dxa"/>
            <w:gridSpan w:val="3"/>
          </w:tcPr>
          <w:p w:rsidR="00922502" w:rsidRDefault="00922502" w:rsidP="00EA3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 Предполагаемый порядок  реализации новых функций, полномочий, обязанностей, органов местного самоуправления муниципальных образований Красноярского края</w:t>
            </w:r>
          </w:p>
          <w:p w:rsidR="00922502" w:rsidRDefault="00922502" w:rsidP="00EA3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922502" w:rsidRPr="00EA3B67" w:rsidRDefault="00922502" w:rsidP="00EA3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502" w:rsidTr="00922502">
        <w:tc>
          <w:tcPr>
            <w:tcW w:w="9571" w:type="dxa"/>
            <w:gridSpan w:val="12"/>
          </w:tcPr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Оценка соответствующих расходов районного бюджета (возможных поступлений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него)</w:t>
            </w:r>
          </w:p>
        </w:tc>
      </w:tr>
      <w:tr w:rsidR="00922502" w:rsidTr="00922502">
        <w:tc>
          <w:tcPr>
            <w:tcW w:w="3369" w:type="dxa"/>
            <w:gridSpan w:val="2"/>
          </w:tcPr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новых функций, полномочий, обязанностей, прав органов местного самоуправления</w:t>
            </w:r>
          </w:p>
          <w:p w:rsidR="00922502" w:rsidRPr="00812131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111" w:type="dxa"/>
            <w:gridSpan w:val="8"/>
          </w:tcPr>
          <w:p w:rsidR="00922502" w:rsidRPr="00812131" w:rsidRDefault="00922502" w:rsidP="00BA4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 Виды расходов (возможных поступлений) районного бюджета</w:t>
            </w:r>
          </w:p>
        </w:tc>
        <w:tc>
          <w:tcPr>
            <w:tcW w:w="3091" w:type="dxa"/>
            <w:gridSpan w:val="2"/>
          </w:tcPr>
          <w:p w:rsidR="00922502" w:rsidRPr="00812131" w:rsidRDefault="00922502" w:rsidP="0081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8.3. Количественная оценка расходов </w:t>
            </w:r>
            <w:r w:rsidRPr="00BA419A">
              <w:rPr>
                <w:rFonts w:ascii="Times New Roman" w:hAnsi="Times New Roman" w:cs="Times New Roman"/>
                <w:sz w:val="24"/>
                <w:szCs w:val="24"/>
              </w:rPr>
              <w:t>(возможных поступлений) районного бюджета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B40E45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45">
              <w:rPr>
                <w:rFonts w:ascii="Times New Roman" w:hAnsi="Times New Roman" w:cs="Times New Roman"/>
                <w:sz w:val="24"/>
                <w:szCs w:val="24"/>
              </w:rPr>
              <w:t>Источники данных отсутствуют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947C19" w:rsidRDefault="00922502" w:rsidP="003404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C19">
              <w:rPr>
                <w:rFonts w:ascii="Times New Roman" w:hAnsi="Times New Roman" w:cs="Times New Roman"/>
                <w:b/>
                <w:sz w:val="24"/>
                <w:szCs w:val="24"/>
              </w:rPr>
              <w:t>9. Новые изменяющие или отменяющие ранее предусмотренные нормативными правовыми актами администрации Каратузского района обязанности для субъектов предпринимательской и инвестиционной деятельности, в также устанавливающие или изменяющие ранее установленную ответственность за нарушение нормативных правовых актов обязанности, запреты и ограничения для субъектов предпринимательской и инвестиционной деятельности, также порядок организации их исполнения</w:t>
            </w:r>
          </w:p>
        </w:tc>
      </w:tr>
      <w:tr w:rsidR="00922502" w:rsidTr="00922502">
        <w:tc>
          <w:tcPr>
            <w:tcW w:w="3528" w:type="dxa"/>
            <w:gridSpan w:val="3"/>
          </w:tcPr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 Группы потенциальных адресатов предполагаемого правового регулирования:</w:t>
            </w: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Pr="00B40E45" w:rsidRDefault="00922502" w:rsidP="00947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D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малого </w:t>
            </w:r>
            <w:r w:rsidR="00947C19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</w:t>
            </w:r>
          </w:p>
        </w:tc>
        <w:tc>
          <w:tcPr>
            <w:tcW w:w="2964" w:type="dxa"/>
            <w:gridSpan w:val="8"/>
          </w:tcPr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9.2. </w:t>
            </w:r>
            <w:r w:rsidRPr="00337DCD">
              <w:rPr>
                <w:rFonts w:ascii="Times New Roman" w:hAnsi="Times New Roman" w:cs="Times New Roman"/>
                <w:sz w:val="24"/>
                <w:szCs w:val="24"/>
              </w:rPr>
              <w:t>Новые изменяющие или отменяющие ранее предусмотренные нормативными правовыми актами администрации Каратузского района обязанности для субъектов предпринимательской и инвестиционной деятельности, в также устанавливающие или изменяющие ранее установленную ответственность за нарушение нормативных правовых актов обязанности, запреты и ограничения для субъектов предпринимательской и инвестиционной деятельности</w:t>
            </w:r>
          </w:p>
          <w:p w:rsidR="00922502" w:rsidRPr="00B40E45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3079" w:type="dxa"/>
          </w:tcPr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 Описание расходов и доходов, связанных с введением предполагаемого правового регулирования, включая количественную оценку</w:t>
            </w: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Pr="00B40E45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4B2A11" w:rsidRDefault="00922502" w:rsidP="004B2A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11">
              <w:rPr>
                <w:rFonts w:ascii="Times New Roman" w:hAnsi="Times New Roman" w:cs="Times New Roman"/>
                <w:b/>
                <w:sz w:val="24"/>
                <w:szCs w:val="24"/>
              </w:rPr>
              <w:t>10.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с изменением содержания таких обязанностей, а также  связанных с введением или изменением ответственности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Pr="004B2A1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8372C6" w:rsidRDefault="00922502" w:rsidP="003404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Риски решения проблемы предложенным способом регулирования </w:t>
            </w:r>
          </w:p>
        </w:tc>
      </w:tr>
      <w:tr w:rsidR="00922502" w:rsidTr="00922502">
        <w:tc>
          <w:tcPr>
            <w:tcW w:w="4896" w:type="dxa"/>
            <w:gridSpan w:val="4"/>
          </w:tcPr>
          <w:p w:rsidR="00922502" w:rsidRPr="00B40E45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 Виды рисков:  отсутствуют </w:t>
            </w:r>
          </w:p>
        </w:tc>
        <w:tc>
          <w:tcPr>
            <w:tcW w:w="4675" w:type="dxa"/>
            <w:gridSpan w:val="8"/>
          </w:tcPr>
          <w:p w:rsidR="00922502" w:rsidRPr="00B40E45" w:rsidRDefault="00922502" w:rsidP="00D20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 Оценка вероятности наступления неблагоприятных последствий:  отсутствует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3A1149" w:rsidRDefault="00922502" w:rsidP="003404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149">
              <w:rPr>
                <w:rFonts w:ascii="Times New Roman" w:hAnsi="Times New Roman" w:cs="Times New Roman"/>
                <w:b/>
                <w:sz w:val="24"/>
                <w:szCs w:val="24"/>
              </w:rPr>
              <w:t>12. Предполагаемая дата вступления в силу нормативного правового акта, оценка необходимости установления переходных положений (переходного периода), а также эксперимента</w:t>
            </w:r>
          </w:p>
        </w:tc>
      </w:tr>
      <w:tr w:rsidR="00922502" w:rsidTr="00922502">
        <w:tc>
          <w:tcPr>
            <w:tcW w:w="6084" w:type="dxa"/>
            <w:gridSpan w:val="7"/>
          </w:tcPr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 Предполагаемая дата вступления в силу нормативного правового акта</w:t>
            </w:r>
          </w:p>
          <w:p w:rsidR="002A7D9B" w:rsidRDefault="002A7D9B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D9B" w:rsidRPr="00B40E45" w:rsidRDefault="005F5915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915"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3487" w:type="dxa"/>
            <w:gridSpan w:val="5"/>
          </w:tcPr>
          <w:p w:rsidR="00922502" w:rsidRPr="00B40E45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положения вводятся в действие в разное время, указывается статья/пункт нормативного правового акта и дата введения: не предусмотрено</w:t>
            </w:r>
          </w:p>
        </w:tc>
      </w:tr>
      <w:tr w:rsidR="00922502" w:rsidTr="00922502">
        <w:tc>
          <w:tcPr>
            <w:tcW w:w="6084" w:type="dxa"/>
            <w:gridSpan w:val="7"/>
          </w:tcPr>
          <w:p w:rsidR="00922502" w:rsidRPr="00B40E45" w:rsidRDefault="00922502" w:rsidP="00436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12.2.  Необходимость установления переходного периода</w:t>
            </w:r>
          </w:p>
        </w:tc>
        <w:tc>
          <w:tcPr>
            <w:tcW w:w="3487" w:type="dxa"/>
            <w:gridSpan w:val="5"/>
          </w:tcPr>
          <w:p w:rsidR="00922502" w:rsidRPr="00B40E45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переходного периода: не предусмотрено</w:t>
            </w:r>
          </w:p>
        </w:tc>
      </w:tr>
      <w:tr w:rsidR="00922502" w:rsidTr="00922502">
        <w:tc>
          <w:tcPr>
            <w:tcW w:w="6084" w:type="dxa"/>
            <w:gridSpan w:val="7"/>
          </w:tcPr>
          <w:p w:rsidR="00922502" w:rsidRPr="00B40E45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12.3. Необходимость распространения предлагаемого правового регулирования на ранее возникшие отношения</w:t>
            </w:r>
          </w:p>
        </w:tc>
        <w:tc>
          <w:tcPr>
            <w:tcW w:w="3487" w:type="dxa"/>
            <w:gridSpan w:val="5"/>
          </w:tcPr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распространения на ранее возникшие отношения: </w:t>
            </w:r>
          </w:p>
          <w:p w:rsidR="00922502" w:rsidRPr="00B40E45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1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B40E45" w:rsidRDefault="00922502" w:rsidP="00436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12.4. Обоснование необходимости установления переходного периода и (или) отсрочки вступления в силу  нормативного правового акта либо необходимости распространения правового регулирования на ранее возникшие отношения: отсутствует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Default="00922502" w:rsidP="00CD7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12.5. Цель проведения эксперимента: отсутствует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Default="00922502" w:rsidP="00CD7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12.6. Срок проведения эксперимента: </w:t>
            </w:r>
            <w:r w:rsidRPr="00CD7FB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Default="00922502" w:rsidP="00CD7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B9">
              <w:rPr>
                <w:rFonts w:ascii="Times New Roman" w:hAnsi="Times New Roman" w:cs="Times New Roman"/>
                <w:b/>
                <w:sz w:val="24"/>
                <w:szCs w:val="24"/>
              </w:rPr>
              <w:t>13. Иные сведения, которые позволяют оценить обоснованность предлагаемого регулирования: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отсутствуют</w:t>
            </w:r>
          </w:p>
          <w:p w:rsidR="00922502" w:rsidRDefault="00922502" w:rsidP="00CD7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253" w:rsidRDefault="00665253"/>
    <w:p w:rsidR="00665253" w:rsidRDefault="00120BDD" w:rsidP="00665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665253" w:rsidRPr="00665253">
        <w:rPr>
          <w:rFonts w:ascii="Times New Roman" w:hAnsi="Times New Roman" w:cs="Times New Roman"/>
          <w:sz w:val="28"/>
          <w:szCs w:val="28"/>
        </w:rPr>
        <w:t xml:space="preserve"> отдела экономики</w:t>
      </w:r>
      <w:r w:rsidR="00665253">
        <w:rPr>
          <w:rFonts w:ascii="Times New Roman" w:hAnsi="Times New Roman" w:cs="Times New Roman"/>
          <w:sz w:val="28"/>
          <w:szCs w:val="28"/>
        </w:rPr>
        <w:t>,</w:t>
      </w:r>
    </w:p>
    <w:p w:rsidR="00665253" w:rsidRDefault="00665253" w:rsidP="00665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производства и развития предпринимательства</w:t>
      </w:r>
    </w:p>
    <w:p w:rsidR="00665253" w:rsidRDefault="00665253" w:rsidP="00665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Каратузского района                                               </w:t>
      </w:r>
      <w:r w:rsidR="00D3712E">
        <w:rPr>
          <w:rFonts w:ascii="Times New Roman" w:hAnsi="Times New Roman" w:cs="Times New Roman"/>
          <w:sz w:val="28"/>
          <w:szCs w:val="28"/>
        </w:rPr>
        <w:t>Р.Ю. Бодрова</w:t>
      </w:r>
    </w:p>
    <w:p w:rsidR="00665253" w:rsidRPr="00665253" w:rsidRDefault="00665253" w:rsidP="006652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65253" w:rsidRPr="00665253" w:rsidSect="00922502">
      <w:headerReference w:type="default" r:id="rId8"/>
      <w:pgSz w:w="11906" w:h="16838"/>
      <w:pgMar w:top="284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19E" w:rsidRDefault="00BE419E" w:rsidP="00062C09">
      <w:pPr>
        <w:spacing w:after="0" w:line="240" w:lineRule="auto"/>
      </w:pPr>
      <w:r>
        <w:separator/>
      </w:r>
    </w:p>
  </w:endnote>
  <w:endnote w:type="continuationSeparator" w:id="0">
    <w:p w:rsidR="00BE419E" w:rsidRDefault="00BE419E" w:rsidP="0006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19E" w:rsidRDefault="00BE419E" w:rsidP="00062C09">
      <w:pPr>
        <w:spacing w:after="0" w:line="240" w:lineRule="auto"/>
      </w:pPr>
      <w:r>
        <w:separator/>
      </w:r>
    </w:p>
  </w:footnote>
  <w:footnote w:type="continuationSeparator" w:id="0">
    <w:p w:rsidR="00BE419E" w:rsidRDefault="00BE419E" w:rsidP="00062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C09" w:rsidRPr="00062C09" w:rsidRDefault="00062C09" w:rsidP="00062C09">
    <w:pPr>
      <w:pStyle w:val="a4"/>
      <w:jc w:val="both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07"/>
    <w:rsid w:val="0003253F"/>
    <w:rsid w:val="000465B3"/>
    <w:rsid w:val="00062C09"/>
    <w:rsid w:val="000E2D1E"/>
    <w:rsid w:val="00120BDD"/>
    <w:rsid w:val="0012483C"/>
    <w:rsid w:val="00173FEA"/>
    <w:rsid w:val="001E1FB2"/>
    <w:rsid w:val="001E6909"/>
    <w:rsid w:val="001F0B51"/>
    <w:rsid w:val="002815C1"/>
    <w:rsid w:val="002A2760"/>
    <w:rsid w:val="002A7D9B"/>
    <w:rsid w:val="002C5EDB"/>
    <w:rsid w:val="002D0118"/>
    <w:rsid w:val="002D0291"/>
    <w:rsid w:val="00337DCD"/>
    <w:rsid w:val="00340404"/>
    <w:rsid w:val="003432E7"/>
    <w:rsid w:val="003569A3"/>
    <w:rsid w:val="003A1149"/>
    <w:rsid w:val="00422441"/>
    <w:rsid w:val="00436921"/>
    <w:rsid w:val="004A012D"/>
    <w:rsid w:val="004B2A11"/>
    <w:rsid w:val="00555B73"/>
    <w:rsid w:val="005E06C8"/>
    <w:rsid w:val="005F5915"/>
    <w:rsid w:val="00665253"/>
    <w:rsid w:val="00673D3F"/>
    <w:rsid w:val="00680C2A"/>
    <w:rsid w:val="00697700"/>
    <w:rsid w:val="00754589"/>
    <w:rsid w:val="007812AD"/>
    <w:rsid w:val="007E4BD0"/>
    <w:rsid w:val="007E5A03"/>
    <w:rsid w:val="00812131"/>
    <w:rsid w:val="008372C6"/>
    <w:rsid w:val="008436B0"/>
    <w:rsid w:val="0089229D"/>
    <w:rsid w:val="008F28E3"/>
    <w:rsid w:val="00922502"/>
    <w:rsid w:val="00947C19"/>
    <w:rsid w:val="009A50DF"/>
    <w:rsid w:val="00A8122F"/>
    <w:rsid w:val="00AB1ECC"/>
    <w:rsid w:val="00B40E45"/>
    <w:rsid w:val="00B70E5E"/>
    <w:rsid w:val="00BA28FE"/>
    <w:rsid w:val="00BA419A"/>
    <w:rsid w:val="00BB05CA"/>
    <w:rsid w:val="00BE419E"/>
    <w:rsid w:val="00C31107"/>
    <w:rsid w:val="00CA0874"/>
    <w:rsid w:val="00CC0A4F"/>
    <w:rsid w:val="00CD7FB9"/>
    <w:rsid w:val="00D200D2"/>
    <w:rsid w:val="00D27E34"/>
    <w:rsid w:val="00D3712E"/>
    <w:rsid w:val="00DD29F8"/>
    <w:rsid w:val="00EA3B67"/>
    <w:rsid w:val="00F27A67"/>
    <w:rsid w:val="00F3650D"/>
    <w:rsid w:val="00F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888F"/>
  <w15:docId w15:val="{6E524206-6500-4793-A537-50E535A6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2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2C09"/>
  </w:style>
  <w:style w:type="paragraph" w:styleId="a6">
    <w:name w:val="footer"/>
    <w:basedOn w:val="a"/>
    <w:link w:val="a7"/>
    <w:uiPriority w:val="99"/>
    <w:unhideWhenUsed/>
    <w:rsid w:val="00062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2C09"/>
  </w:style>
  <w:style w:type="character" w:styleId="a8">
    <w:name w:val="Hyperlink"/>
    <w:basedOn w:val="a0"/>
    <w:uiPriority w:val="99"/>
    <w:unhideWhenUsed/>
    <w:rsid w:val="009A50DF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046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aratuzraion.gosuslugi.ru/ofitsialno/otsenka-reguliruyuschego-ozdeystviy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3CD45-9FAF-4E36-96D1-A48F45932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Бодрова Римма Юрьевна</dc:creator>
  <cp:lastModifiedBy>108</cp:lastModifiedBy>
  <cp:revision>32</cp:revision>
  <dcterms:created xsi:type="dcterms:W3CDTF">2024-02-09T04:53:00Z</dcterms:created>
  <dcterms:modified xsi:type="dcterms:W3CDTF">2024-06-25T07:14:00Z</dcterms:modified>
</cp:coreProperties>
</file>