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4553A" w14:textId="77777777" w:rsidR="00A1601E"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p>
    <w:p w14:paraId="49F660BF"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4"/>
          <w:szCs w:val="24"/>
        </w:rPr>
      </w:pPr>
      <w:r w:rsidRPr="00B66512">
        <w:rPr>
          <w:rFonts w:ascii="Times New Roman CYR" w:hAnsi="Times New Roman CYR" w:cs="Times New Roman CYR"/>
          <w:b/>
          <w:bCs/>
          <w:color w:val="000000"/>
          <w:sz w:val="28"/>
          <w:szCs w:val="28"/>
        </w:rPr>
        <w:t>Пояснительная записка к Прогнозу СЭР МО</w:t>
      </w:r>
    </w:p>
    <w:p w14:paraId="0BEA4E97"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p>
    <w:p w14:paraId="36D5AA1B"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1. Общие сведения о муниципальном образовании</w:t>
      </w:r>
    </w:p>
    <w:p w14:paraId="3DEBB0F0"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15EFCCF1" w14:textId="77777777" w:rsidR="00A1601E" w:rsidRPr="00B66512" w:rsidRDefault="00A1601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Каратузский район является муниципальным образованием в составе территорий юга Красноярского края с административным центром в селе Каратузское. Площадь района 10236 кв.км. Образован район </w:t>
      </w:r>
      <w:r w:rsidR="00853525" w:rsidRPr="00B66512">
        <w:rPr>
          <w:rFonts w:ascii="Times New Roman CYR" w:hAnsi="Times New Roman CYR" w:cs="Times New Roman CYR"/>
          <w:sz w:val="28"/>
          <w:szCs w:val="28"/>
        </w:rPr>
        <w:t>4</w:t>
      </w:r>
      <w:r w:rsidRPr="00B66512">
        <w:rPr>
          <w:rFonts w:ascii="Times New Roman CYR" w:hAnsi="Times New Roman CYR" w:cs="Times New Roman CYR"/>
          <w:sz w:val="28"/>
          <w:szCs w:val="28"/>
        </w:rPr>
        <w:t xml:space="preserve"> </w:t>
      </w:r>
      <w:r w:rsidR="00853525" w:rsidRPr="00B66512">
        <w:rPr>
          <w:rFonts w:ascii="Times New Roman CYR" w:hAnsi="Times New Roman CYR" w:cs="Times New Roman CYR"/>
          <w:sz w:val="28"/>
          <w:szCs w:val="28"/>
        </w:rPr>
        <w:t>апреля</w:t>
      </w:r>
      <w:r w:rsidRPr="00B66512">
        <w:rPr>
          <w:rFonts w:ascii="Times New Roman CYR" w:hAnsi="Times New Roman CYR" w:cs="Times New Roman CYR"/>
          <w:sz w:val="28"/>
          <w:szCs w:val="28"/>
        </w:rPr>
        <w:t xml:space="preserve"> 1924 года. В районе 28 населенных пунктов, 14 сельских администраций. </w:t>
      </w:r>
    </w:p>
    <w:p w14:paraId="2B9606A7" w14:textId="77777777" w:rsidR="00A1601E" w:rsidRPr="00B66512" w:rsidRDefault="00A1601E">
      <w:pPr>
        <w:autoSpaceDE w:val="0"/>
        <w:autoSpaceDN w:val="0"/>
        <w:adjustRightInd w:val="0"/>
        <w:spacing w:after="0" w:line="240" w:lineRule="auto"/>
        <w:ind w:firstLine="708"/>
        <w:jc w:val="both"/>
        <w:rPr>
          <w:rFonts w:ascii="Times New Roman CYR" w:hAnsi="Times New Roman CYR" w:cs="Times New Roman CYR"/>
          <w:sz w:val="28"/>
          <w:szCs w:val="28"/>
        </w:rPr>
      </w:pPr>
      <w:r w:rsidRPr="00B66512">
        <w:rPr>
          <w:rFonts w:ascii="Times New Roman CYR" w:hAnsi="Times New Roman CYR" w:cs="Times New Roman CYR"/>
          <w:sz w:val="28"/>
          <w:szCs w:val="28"/>
        </w:rPr>
        <w:t>Район размещается в юго–восточной части края в Западных Саянах. Основные реки района Амыл и Казыр - притоки реки Тубы, впадающей в Енисей. Связь с краевым центром осуществляется автодорогой через г. Минусинск, воздушным сообщением из аэропорта в г. Абакан (150 км), ближайшие железнодорожные станции: с. Курагино (трасса Абакан- Тайшет) находится на расстоянии 61 км от райцентра, станция Минусинск - на расстоянии 135 км, расстояние до краевого центра – 550 км.</w:t>
      </w:r>
    </w:p>
    <w:p w14:paraId="358A0AFC" w14:textId="77777777" w:rsidR="00A1601E" w:rsidRPr="00B66512" w:rsidRDefault="00A1601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Согласно схеме агроклиматического районирования, территория земледельчески освоенной части района относится к умеренно-прохладному агроклиматическому району. Крайняя юго-восточная предгорная часть района входит в прохладный агроклиматический район.</w:t>
      </w:r>
    </w:p>
    <w:p w14:paraId="0BD448FB" w14:textId="77777777" w:rsidR="00A1601E" w:rsidRPr="00B66512" w:rsidRDefault="00A1601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Рельеф территории района разнообразен и имеет переходный характер от равнинного Минусинской впадины к сопочно – увалистому предгорью Восточных Саян. В целом его можно охарактеризовать как равнинно – сопочно – увалистый.</w:t>
      </w:r>
    </w:p>
    <w:p w14:paraId="6A007A15" w14:textId="77777777" w:rsidR="00A1601E" w:rsidRPr="00B66512" w:rsidRDefault="00A1601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Гидрографическая сеть на территории района хорошо развита, очень разветвленная. Основными крупными реками района является Казыр, протекающая по северной границе, и Амыл, пересекающая территорию района с юго-востока на северо-запад. Сливаясь на северной границе района, они образуют реку Тубу, которая является правым притоком Енисея.</w:t>
      </w:r>
    </w:p>
    <w:p w14:paraId="2F585A9C" w14:textId="77777777" w:rsidR="00A1601E" w:rsidRPr="00B66512" w:rsidRDefault="00A1601E">
      <w:pPr>
        <w:autoSpaceDE w:val="0"/>
        <w:autoSpaceDN w:val="0"/>
        <w:adjustRightInd w:val="0"/>
        <w:spacing w:after="0" w:line="240" w:lineRule="auto"/>
        <w:ind w:firstLine="709"/>
        <w:jc w:val="both"/>
        <w:rPr>
          <w:rFonts w:ascii="Times New Roman CYR" w:hAnsi="Times New Roman CYR" w:cs="Times New Roman CYR"/>
          <w:color w:val="000000"/>
          <w:spacing w:val="-6"/>
          <w:sz w:val="28"/>
          <w:szCs w:val="28"/>
        </w:rPr>
      </w:pPr>
      <w:r w:rsidRPr="00B66512">
        <w:rPr>
          <w:rFonts w:ascii="Times New Roman CYR" w:hAnsi="Times New Roman CYR" w:cs="Times New Roman CYR"/>
          <w:sz w:val="28"/>
          <w:szCs w:val="28"/>
        </w:rPr>
        <w:t>В</w:t>
      </w:r>
      <w:r w:rsidRPr="00B66512">
        <w:rPr>
          <w:rFonts w:ascii="Times New Roman CYR" w:hAnsi="Times New Roman CYR" w:cs="Times New Roman CYR"/>
          <w:color w:val="000000"/>
          <w:spacing w:val="-4"/>
          <w:sz w:val="28"/>
          <w:szCs w:val="28"/>
        </w:rPr>
        <w:t xml:space="preserve"> Каратузском районе известны месторождения: торфа, россыпного золота и платины, глин, суглинков легкоплавких для кирпича, песчано-гравийных материалов, камней строительных, </w:t>
      </w:r>
      <w:r w:rsidRPr="00B66512">
        <w:rPr>
          <w:rFonts w:ascii="Times New Roman CYR" w:hAnsi="Times New Roman CYR" w:cs="Times New Roman CYR"/>
          <w:color w:val="000000"/>
          <w:spacing w:val="-5"/>
          <w:sz w:val="28"/>
          <w:szCs w:val="28"/>
        </w:rPr>
        <w:t>сырья для минеральных красок, грунтов. Имеются  запасы  полезных ископаемых:</w:t>
      </w:r>
      <w:r w:rsidRPr="00B66512">
        <w:rPr>
          <w:rFonts w:ascii="Times New Roman CYR" w:hAnsi="Times New Roman CYR" w:cs="Times New Roman CYR"/>
          <w:color w:val="000000"/>
          <w:spacing w:val="-6"/>
          <w:sz w:val="28"/>
          <w:szCs w:val="28"/>
        </w:rPr>
        <w:t xml:space="preserve"> хромиты, молибден, вольфрам, ртуть, берил</w:t>
      </w:r>
      <w:r w:rsidRPr="00B66512">
        <w:rPr>
          <w:rFonts w:ascii="Times New Roman CYR" w:hAnsi="Times New Roman CYR" w:cs="Times New Roman CYR"/>
          <w:color w:val="000000"/>
          <w:spacing w:val="-5"/>
          <w:sz w:val="28"/>
          <w:szCs w:val="28"/>
        </w:rPr>
        <w:t>лий, золото рудное, уран, тальк, роговики, лиственницы</w:t>
      </w:r>
      <w:r w:rsidRPr="00B66512">
        <w:rPr>
          <w:rFonts w:ascii="Times New Roman CYR" w:hAnsi="Times New Roman CYR" w:cs="Times New Roman CYR"/>
          <w:color w:val="000000"/>
          <w:spacing w:val="-6"/>
          <w:sz w:val="28"/>
          <w:szCs w:val="28"/>
        </w:rPr>
        <w:t>, яшма, карбонатные породы для цемента. Профилирующим полезным ископаемым на территории района является россыпное золото, перспективы золотоносности которого остаются не раскрытыми.</w:t>
      </w:r>
    </w:p>
    <w:p w14:paraId="6B98EA7C" w14:textId="77777777" w:rsidR="00A1601E" w:rsidRPr="00B66512" w:rsidRDefault="00A1601E">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color w:val="000000"/>
          <w:spacing w:val="-6"/>
          <w:sz w:val="28"/>
          <w:szCs w:val="28"/>
        </w:rPr>
        <w:t>Осуществляет</w:t>
      </w:r>
      <w:r w:rsidRPr="00B66512">
        <w:rPr>
          <w:rFonts w:ascii="Times New Roman CYR" w:hAnsi="Times New Roman CYR" w:cs="Times New Roman CYR"/>
          <w:color w:val="000000"/>
          <w:spacing w:val="-5"/>
          <w:sz w:val="28"/>
          <w:szCs w:val="28"/>
        </w:rPr>
        <w:t>ся водозабор пресных вод из источника, одиночных и групповых с</w:t>
      </w:r>
      <w:r w:rsidRPr="00B66512">
        <w:rPr>
          <w:rFonts w:ascii="Times New Roman CYR" w:hAnsi="Times New Roman CYR" w:cs="Times New Roman CYR"/>
          <w:color w:val="000000"/>
          <w:spacing w:val="-6"/>
          <w:sz w:val="28"/>
          <w:szCs w:val="28"/>
        </w:rPr>
        <w:t>кважин для хозяйственно-питьевого и производственно-техниче</w:t>
      </w:r>
      <w:r w:rsidRPr="00B66512">
        <w:rPr>
          <w:rFonts w:ascii="Times New Roman CYR" w:hAnsi="Times New Roman CYR" w:cs="Times New Roman CYR"/>
          <w:color w:val="000000"/>
          <w:spacing w:val="-5"/>
          <w:sz w:val="28"/>
          <w:szCs w:val="28"/>
        </w:rPr>
        <w:t>ского водоснабжения населенных пунктов.</w:t>
      </w:r>
    </w:p>
    <w:p w14:paraId="646892C0" w14:textId="77777777" w:rsidR="00A1601E" w:rsidRPr="00B66512" w:rsidRDefault="00A1601E">
      <w:pPr>
        <w:autoSpaceDE w:val="0"/>
        <w:autoSpaceDN w:val="0"/>
        <w:adjustRightInd w:val="0"/>
        <w:spacing w:after="0" w:line="240" w:lineRule="auto"/>
        <w:jc w:val="center"/>
        <w:rPr>
          <w:rFonts w:ascii="Times New Roman CYR" w:hAnsi="Times New Roman CYR" w:cs="Times New Roman CYR"/>
          <w:sz w:val="28"/>
          <w:szCs w:val="28"/>
        </w:rPr>
      </w:pPr>
    </w:p>
    <w:p w14:paraId="1AD2CBC2" w14:textId="77777777" w:rsidR="00A1601E" w:rsidRPr="00B66512" w:rsidRDefault="00A1601E">
      <w:pPr>
        <w:autoSpaceDE w:val="0"/>
        <w:autoSpaceDN w:val="0"/>
        <w:adjustRightInd w:val="0"/>
        <w:spacing w:after="0" w:line="240" w:lineRule="auto"/>
        <w:jc w:val="center"/>
        <w:rPr>
          <w:rFonts w:ascii="Times New Roman CYR" w:hAnsi="Times New Roman CYR" w:cs="Times New Roman CYR"/>
          <w:sz w:val="28"/>
          <w:szCs w:val="28"/>
        </w:rPr>
      </w:pPr>
    </w:p>
    <w:p w14:paraId="23DF9C8F" w14:textId="77777777" w:rsidR="00A1601E" w:rsidRPr="00B66512" w:rsidRDefault="00A1601E">
      <w:pPr>
        <w:autoSpaceDE w:val="0"/>
        <w:autoSpaceDN w:val="0"/>
        <w:adjustRightInd w:val="0"/>
        <w:spacing w:after="0" w:line="240" w:lineRule="auto"/>
        <w:jc w:val="center"/>
        <w:rPr>
          <w:rFonts w:ascii="Times New Roman CYR" w:hAnsi="Times New Roman CYR" w:cs="Times New Roman CYR"/>
          <w:sz w:val="28"/>
          <w:szCs w:val="28"/>
        </w:rPr>
      </w:pPr>
    </w:p>
    <w:p w14:paraId="5485CD93" w14:textId="77777777" w:rsidR="00A1601E" w:rsidRPr="00B66512" w:rsidRDefault="00A1601E">
      <w:pPr>
        <w:autoSpaceDE w:val="0"/>
        <w:autoSpaceDN w:val="0"/>
        <w:adjustRightInd w:val="0"/>
        <w:spacing w:after="0" w:line="240" w:lineRule="auto"/>
        <w:rPr>
          <w:rFonts w:ascii="Times New Roman CYR" w:hAnsi="Times New Roman CYR" w:cs="Times New Roman CYR"/>
          <w:sz w:val="28"/>
          <w:szCs w:val="28"/>
        </w:rPr>
      </w:pPr>
      <w:r w:rsidRPr="00B66512">
        <w:rPr>
          <w:rFonts w:ascii="Times New Roman CYR" w:hAnsi="Times New Roman CYR" w:cs="Times New Roman CYR"/>
          <w:sz w:val="28"/>
          <w:szCs w:val="28"/>
          <w:u w:val="words"/>
        </w:rPr>
        <w:lastRenderedPageBreak/>
        <w:t>1.</w:t>
      </w:r>
      <w:r w:rsidRPr="00B66512">
        <w:rPr>
          <w:rFonts w:ascii="Times New Roman CYR" w:hAnsi="Times New Roman CYR" w:cs="Times New Roman CYR"/>
          <w:sz w:val="28"/>
          <w:szCs w:val="28"/>
          <w:u w:val="single"/>
        </w:rPr>
        <w:t>2  Население муниципального образования</w:t>
      </w:r>
      <w:r w:rsidRPr="00B66512">
        <w:rPr>
          <w:rFonts w:ascii="Times New Roman CYR" w:hAnsi="Times New Roman CYR" w:cs="Times New Roman CYR"/>
          <w:i/>
          <w:iCs/>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2775"/>
        <w:gridCol w:w="3191"/>
      </w:tblGrid>
      <w:tr w:rsidR="00A1601E" w:rsidRPr="00B66512" w14:paraId="2F9A0812"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2C2C6003" w14:textId="77777777" w:rsidR="00A1601E" w:rsidRPr="00B66512" w:rsidRDefault="00A1601E">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Сельские   поселения</w:t>
            </w:r>
          </w:p>
          <w:p w14:paraId="3D6C243D" w14:textId="77777777" w:rsidR="00A1601E" w:rsidRPr="00B66512" w:rsidRDefault="00A1601E">
            <w:pPr>
              <w:autoSpaceDE w:val="0"/>
              <w:autoSpaceDN w:val="0"/>
              <w:adjustRightInd w:val="0"/>
              <w:spacing w:after="0" w:line="240" w:lineRule="auto"/>
              <w:jc w:val="center"/>
              <w:rPr>
                <w:rFonts w:ascii="Times New Roman CYR" w:hAnsi="Times New Roman CYR" w:cs="Times New Roman CYR"/>
                <w:sz w:val="24"/>
                <w:szCs w:val="24"/>
              </w:rPr>
            </w:pPr>
          </w:p>
          <w:p w14:paraId="78B70722" w14:textId="77777777" w:rsidR="00A1601E" w:rsidRPr="00B66512" w:rsidRDefault="00A1601E">
            <w:pPr>
              <w:autoSpaceDE w:val="0"/>
              <w:autoSpaceDN w:val="0"/>
              <w:adjustRightInd w:val="0"/>
              <w:spacing w:after="0" w:line="240" w:lineRule="auto"/>
              <w:jc w:val="center"/>
              <w:rPr>
                <w:rFonts w:ascii="Times New Roman CYR" w:hAnsi="Times New Roman CYR" w:cs="Times New Roman CYR"/>
                <w:sz w:val="24"/>
                <w:szCs w:val="24"/>
              </w:rPr>
            </w:pPr>
          </w:p>
        </w:tc>
        <w:tc>
          <w:tcPr>
            <w:tcW w:w="2775" w:type="dxa"/>
            <w:tcBorders>
              <w:top w:val="single" w:sz="4" w:space="0" w:color="auto"/>
              <w:left w:val="single" w:sz="4" w:space="0" w:color="auto"/>
              <w:bottom w:val="single" w:sz="4" w:space="0" w:color="auto"/>
              <w:right w:val="single" w:sz="4" w:space="0" w:color="auto"/>
            </w:tcBorders>
          </w:tcPr>
          <w:p w14:paraId="20998E6D" w14:textId="77777777" w:rsidR="00A1601E" w:rsidRPr="00B66512" w:rsidRDefault="00A1601E" w:rsidP="00853525">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Числ</w:t>
            </w:r>
            <w:r w:rsidR="003F6542" w:rsidRPr="00B66512">
              <w:rPr>
                <w:rFonts w:ascii="Times New Roman CYR" w:hAnsi="Times New Roman CYR" w:cs="Times New Roman CYR"/>
                <w:sz w:val="24"/>
                <w:szCs w:val="24"/>
              </w:rPr>
              <w:t>енность населения на начало 202</w:t>
            </w:r>
            <w:r w:rsidR="00853525" w:rsidRPr="00B66512">
              <w:rPr>
                <w:rFonts w:ascii="Times New Roman CYR" w:hAnsi="Times New Roman CYR" w:cs="Times New Roman CYR"/>
                <w:sz w:val="24"/>
                <w:szCs w:val="24"/>
              </w:rPr>
              <w:t>4</w:t>
            </w:r>
            <w:r w:rsidRPr="00B66512">
              <w:rPr>
                <w:rFonts w:ascii="Times New Roman CYR" w:hAnsi="Times New Roman CYR" w:cs="Times New Roman CYR"/>
                <w:sz w:val="24"/>
                <w:szCs w:val="24"/>
              </w:rPr>
              <w:t xml:space="preserve"> года (человек)</w:t>
            </w:r>
          </w:p>
        </w:tc>
        <w:tc>
          <w:tcPr>
            <w:tcW w:w="3191" w:type="dxa"/>
            <w:tcBorders>
              <w:top w:val="single" w:sz="4" w:space="0" w:color="auto"/>
              <w:left w:val="single" w:sz="4" w:space="0" w:color="auto"/>
              <w:bottom w:val="single" w:sz="4" w:space="0" w:color="auto"/>
            </w:tcBorders>
          </w:tcPr>
          <w:p w14:paraId="3DF9B4CE" w14:textId="77777777" w:rsidR="00A1601E" w:rsidRPr="00B66512" w:rsidRDefault="00A1601E">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Структура в % к общей численности</w:t>
            </w:r>
          </w:p>
        </w:tc>
      </w:tr>
      <w:tr w:rsidR="00A1601E" w:rsidRPr="00B66512" w14:paraId="0407F877" w14:textId="77777777">
        <w:tblPrEx>
          <w:tblCellMar>
            <w:top w:w="0" w:type="dxa"/>
            <w:bottom w:w="0" w:type="dxa"/>
          </w:tblCellMar>
        </w:tblPrEx>
        <w:trPr>
          <w:trHeight w:val="119"/>
        </w:trPr>
        <w:tc>
          <w:tcPr>
            <w:tcW w:w="3888" w:type="dxa"/>
            <w:tcBorders>
              <w:top w:val="single" w:sz="4" w:space="0" w:color="auto"/>
              <w:bottom w:val="single" w:sz="4" w:space="0" w:color="auto"/>
              <w:right w:val="single" w:sz="4" w:space="0" w:color="auto"/>
            </w:tcBorders>
          </w:tcPr>
          <w:p w14:paraId="43346E16"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Каратузский сельсовет</w:t>
            </w:r>
          </w:p>
        </w:tc>
        <w:tc>
          <w:tcPr>
            <w:tcW w:w="2775" w:type="dxa"/>
            <w:tcBorders>
              <w:top w:val="single" w:sz="4" w:space="0" w:color="auto"/>
              <w:left w:val="single" w:sz="4" w:space="0" w:color="auto"/>
              <w:bottom w:val="single" w:sz="4" w:space="0" w:color="auto"/>
              <w:right w:val="single" w:sz="4" w:space="0" w:color="auto"/>
            </w:tcBorders>
          </w:tcPr>
          <w:p w14:paraId="4D7009C6" w14:textId="77777777" w:rsidR="00A1601E" w:rsidRPr="00B66512" w:rsidRDefault="003F6542"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66</w:t>
            </w:r>
            <w:r w:rsidR="00387299" w:rsidRPr="00B66512">
              <w:rPr>
                <w:rFonts w:ascii="Times New Roman CYR" w:hAnsi="Times New Roman CYR" w:cs="Times New Roman CYR"/>
                <w:sz w:val="24"/>
                <w:szCs w:val="24"/>
              </w:rPr>
              <w:t>01</w:t>
            </w:r>
          </w:p>
        </w:tc>
        <w:tc>
          <w:tcPr>
            <w:tcW w:w="3191" w:type="dxa"/>
            <w:tcBorders>
              <w:top w:val="single" w:sz="4" w:space="0" w:color="auto"/>
              <w:left w:val="single" w:sz="4" w:space="0" w:color="auto"/>
              <w:bottom w:val="single" w:sz="4" w:space="0" w:color="auto"/>
            </w:tcBorders>
          </w:tcPr>
          <w:p w14:paraId="5E33CB37"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50,17</w:t>
            </w:r>
          </w:p>
        </w:tc>
      </w:tr>
      <w:tr w:rsidR="00A1601E" w:rsidRPr="00B66512" w14:paraId="2582EAD3" w14:textId="77777777">
        <w:tblPrEx>
          <w:tblCellMar>
            <w:top w:w="0" w:type="dxa"/>
            <w:bottom w:w="0" w:type="dxa"/>
          </w:tblCellMar>
        </w:tblPrEx>
        <w:trPr>
          <w:trHeight w:val="284"/>
        </w:trPr>
        <w:tc>
          <w:tcPr>
            <w:tcW w:w="3888" w:type="dxa"/>
            <w:tcBorders>
              <w:top w:val="single" w:sz="4" w:space="0" w:color="auto"/>
              <w:bottom w:val="single" w:sz="4" w:space="0" w:color="auto"/>
              <w:right w:val="single" w:sz="4" w:space="0" w:color="auto"/>
            </w:tcBorders>
          </w:tcPr>
          <w:p w14:paraId="40D3ADE5"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 xml:space="preserve">МО Моторский сельсовет   </w:t>
            </w:r>
          </w:p>
        </w:tc>
        <w:tc>
          <w:tcPr>
            <w:tcW w:w="2775" w:type="dxa"/>
            <w:tcBorders>
              <w:top w:val="single" w:sz="4" w:space="0" w:color="auto"/>
              <w:left w:val="single" w:sz="4" w:space="0" w:color="auto"/>
              <w:bottom w:val="single" w:sz="4" w:space="0" w:color="auto"/>
              <w:right w:val="single" w:sz="4" w:space="0" w:color="auto"/>
            </w:tcBorders>
          </w:tcPr>
          <w:p w14:paraId="13C2FAAB" w14:textId="77777777" w:rsidR="00A1601E" w:rsidRPr="00B66512" w:rsidRDefault="003F6542"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8</w:t>
            </w:r>
            <w:r w:rsidR="00387299" w:rsidRPr="00B66512">
              <w:rPr>
                <w:rFonts w:ascii="Times New Roman CYR" w:hAnsi="Times New Roman CYR" w:cs="Times New Roman CYR"/>
                <w:sz w:val="24"/>
                <w:szCs w:val="24"/>
              </w:rPr>
              <w:t>59</w:t>
            </w:r>
          </w:p>
        </w:tc>
        <w:tc>
          <w:tcPr>
            <w:tcW w:w="3191" w:type="dxa"/>
            <w:tcBorders>
              <w:top w:val="single" w:sz="4" w:space="0" w:color="auto"/>
              <w:left w:val="single" w:sz="4" w:space="0" w:color="auto"/>
              <w:bottom w:val="single" w:sz="4" w:space="0" w:color="auto"/>
            </w:tcBorders>
          </w:tcPr>
          <w:p w14:paraId="3A1728BF" w14:textId="77777777" w:rsidR="00A1601E" w:rsidRPr="00B66512" w:rsidRDefault="00387299" w:rsidP="00A44776">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6,53</w:t>
            </w:r>
          </w:p>
        </w:tc>
      </w:tr>
      <w:tr w:rsidR="00A1601E" w:rsidRPr="00B66512" w14:paraId="6C2B19B8"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2A77666A"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Черемушинский сельсовет</w:t>
            </w:r>
          </w:p>
        </w:tc>
        <w:tc>
          <w:tcPr>
            <w:tcW w:w="2775" w:type="dxa"/>
            <w:tcBorders>
              <w:top w:val="single" w:sz="4" w:space="0" w:color="auto"/>
              <w:left w:val="single" w:sz="4" w:space="0" w:color="auto"/>
              <w:bottom w:val="single" w:sz="4" w:space="0" w:color="auto"/>
              <w:right w:val="single" w:sz="4" w:space="0" w:color="auto"/>
            </w:tcBorders>
          </w:tcPr>
          <w:p w14:paraId="41A0A81B"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956</w:t>
            </w:r>
          </w:p>
        </w:tc>
        <w:tc>
          <w:tcPr>
            <w:tcW w:w="3191" w:type="dxa"/>
            <w:tcBorders>
              <w:top w:val="single" w:sz="4" w:space="0" w:color="auto"/>
              <w:left w:val="single" w:sz="4" w:space="0" w:color="auto"/>
              <w:bottom w:val="single" w:sz="4" w:space="0" w:color="auto"/>
            </w:tcBorders>
          </w:tcPr>
          <w:p w14:paraId="4B5DE51B"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7,27</w:t>
            </w:r>
          </w:p>
        </w:tc>
      </w:tr>
      <w:tr w:rsidR="00A1601E" w:rsidRPr="00B66512" w14:paraId="7B677E3D" w14:textId="77777777">
        <w:tblPrEx>
          <w:tblCellMar>
            <w:top w:w="0" w:type="dxa"/>
            <w:bottom w:w="0" w:type="dxa"/>
          </w:tblCellMar>
        </w:tblPrEx>
        <w:trPr>
          <w:trHeight w:val="368"/>
        </w:trPr>
        <w:tc>
          <w:tcPr>
            <w:tcW w:w="3888" w:type="dxa"/>
            <w:tcBorders>
              <w:top w:val="single" w:sz="4" w:space="0" w:color="auto"/>
              <w:bottom w:val="single" w:sz="4" w:space="0" w:color="auto"/>
              <w:right w:val="single" w:sz="4" w:space="0" w:color="auto"/>
            </w:tcBorders>
          </w:tcPr>
          <w:p w14:paraId="4C868AAC"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Верхнекужебарский сельсовет</w:t>
            </w:r>
          </w:p>
        </w:tc>
        <w:tc>
          <w:tcPr>
            <w:tcW w:w="2775" w:type="dxa"/>
            <w:tcBorders>
              <w:top w:val="single" w:sz="4" w:space="0" w:color="auto"/>
              <w:left w:val="single" w:sz="4" w:space="0" w:color="auto"/>
              <w:bottom w:val="single" w:sz="4" w:space="0" w:color="auto"/>
              <w:right w:val="single" w:sz="4" w:space="0" w:color="auto"/>
            </w:tcBorders>
          </w:tcPr>
          <w:p w14:paraId="6082D8CD"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797</w:t>
            </w:r>
          </w:p>
        </w:tc>
        <w:tc>
          <w:tcPr>
            <w:tcW w:w="3191" w:type="dxa"/>
            <w:tcBorders>
              <w:top w:val="single" w:sz="4" w:space="0" w:color="auto"/>
              <w:left w:val="single" w:sz="4" w:space="0" w:color="auto"/>
              <w:bottom w:val="single" w:sz="4" w:space="0" w:color="auto"/>
            </w:tcBorders>
          </w:tcPr>
          <w:p w14:paraId="16C41507"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6,06</w:t>
            </w:r>
          </w:p>
        </w:tc>
      </w:tr>
      <w:tr w:rsidR="00A1601E" w:rsidRPr="00B66512" w14:paraId="2BEBA0B1" w14:textId="77777777">
        <w:tblPrEx>
          <w:tblCellMar>
            <w:top w:w="0" w:type="dxa"/>
            <w:bottom w:w="0" w:type="dxa"/>
          </w:tblCellMar>
        </w:tblPrEx>
        <w:trPr>
          <w:trHeight w:val="314"/>
        </w:trPr>
        <w:tc>
          <w:tcPr>
            <w:tcW w:w="3888" w:type="dxa"/>
            <w:tcBorders>
              <w:top w:val="single" w:sz="4" w:space="0" w:color="auto"/>
              <w:bottom w:val="single" w:sz="4" w:space="0" w:color="auto"/>
              <w:right w:val="single" w:sz="4" w:space="0" w:color="auto"/>
            </w:tcBorders>
          </w:tcPr>
          <w:p w14:paraId="4C62DC0D"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Нижнекурятский сельсовет</w:t>
            </w:r>
          </w:p>
        </w:tc>
        <w:tc>
          <w:tcPr>
            <w:tcW w:w="2775" w:type="dxa"/>
            <w:tcBorders>
              <w:top w:val="single" w:sz="4" w:space="0" w:color="auto"/>
              <w:left w:val="single" w:sz="4" w:space="0" w:color="auto"/>
              <w:bottom w:val="single" w:sz="4" w:space="0" w:color="auto"/>
              <w:right w:val="single" w:sz="4" w:space="0" w:color="auto"/>
            </w:tcBorders>
          </w:tcPr>
          <w:p w14:paraId="07A0BC29"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452</w:t>
            </w:r>
          </w:p>
        </w:tc>
        <w:tc>
          <w:tcPr>
            <w:tcW w:w="3191" w:type="dxa"/>
            <w:tcBorders>
              <w:top w:val="single" w:sz="4" w:space="0" w:color="auto"/>
              <w:left w:val="single" w:sz="4" w:space="0" w:color="auto"/>
              <w:bottom w:val="single" w:sz="4" w:space="0" w:color="auto"/>
            </w:tcBorders>
          </w:tcPr>
          <w:p w14:paraId="3C5F37C7"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3,44</w:t>
            </w:r>
          </w:p>
        </w:tc>
      </w:tr>
      <w:tr w:rsidR="00A1601E" w:rsidRPr="00B66512" w14:paraId="372E15B9" w14:textId="77777777">
        <w:tblPrEx>
          <w:tblCellMar>
            <w:top w:w="0" w:type="dxa"/>
            <w:bottom w:w="0" w:type="dxa"/>
          </w:tblCellMar>
        </w:tblPrEx>
        <w:trPr>
          <w:trHeight w:val="325"/>
        </w:trPr>
        <w:tc>
          <w:tcPr>
            <w:tcW w:w="3888" w:type="dxa"/>
            <w:tcBorders>
              <w:top w:val="single" w:sz="4" w:space="0" w:color="auto"/>
              <w:bottom w:val="single" w:sz="4" w:space="0" w:color="auto"/>
              <w:right w:val="single" w:sz="4" w:space="0" w:color="auto"/>
            </w:tcBorders>
          </w:tcPr>
          <w:p w14:paraId="09806026"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Амыльский сельсовет</w:t>
            </w:r>
          </w:p>
        </w:tc>
        <w:tc>
          <w:tcPr>
            <w:tcW w:w="2775" w:type="dxa"/>
            <w:tcBorders>
              <w:top w:val="single" w:sz="4" w:space="0" w:color="auto"/>
              <w:left w:val="single" w:sz="4" w:space="0" w:color="auto"/>
              <w:bottom w:val="single" w:sz="4" w:space="0" w:color="auto"/>
              <w:right w:val="single" w:sz="4" w:space="0" w:color="auto"/>
            </w:tcBorders>
          </w:tcPr>
          <w:p w14:paraId="1CF54DF9"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439</w:t>
            </w:r>
          </w:p>
        </w:tc>
        <w:tc>
          <w:tcPr>
            <w:tcW w:w="3191" w:type="dxa"/>
            <w:tcBorders>
              <w:top w:val="single" w:sz="4" w:space="0" w:color="auto"/>
              <w:left w:val="single" w:sz="4" w:space="0" w:color="auto"/>
              <w:bottom w:val="single" w:sz="4" w:space="0" w:color="auto"/>
            </w:tcBorders>
          </w:tcPr>
          <w:p w14:paraId="09BD1DD4"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3,34</w:t>
            </w:r>
          </w:p>
        </w:tc>
      </w:tr>
      <w:tr w:rsidR="00A1601E" w:rsidRPr="00B66512" w14:paraId="6BE33E10" w14:textId="77777777">
        <w:tblPrEx>
          <w:tblCellMar>
            <w:top w:w="0" w:type="dxa"/>
            <w:bottom w:w="0" w:type="dxa"/>
          </w:tblCellMar>
        </w:tblPrEx>
        <w:trPr>
          <w:trHeight w:val="300"/>
        </w:trPr>
        <w:tc>
          <w:tcPr>
            <w:tcW w:w="3888" w:type="dxa"/>
            <w:tcBorders>
              <w:top w:val="single" w:sz="4" w:space="0" w:color="auto"/>
              <w:bottom w:val="single" w:sz="4" w:space="0" w:color="auto"/>
              <w:right w:val="single" w:sz="4" w:space="0" w:color="auto"/>
            </w:tcBorders>
          </w:tcPr>
          <w:p w14:paraId="7E042D86"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Качульский сельсовет</w:t>
            </w:r>
          </w:p>
        </w:tc>
        <w:tc>
          <w:tcPr>
            <w:tcW w:w="2775" w:type="dxa"/>
            <w:tcBorders>
              <w:top w:val="single" w:sz="4" w:space="0" w:color="auto"/>
              <w:left w:val="single" w:sz="4" w:space="0" w:color="auto"/>
              <w:bottom w:val="single" w:sz="4" w:space="0" w:color="auto"/>
              <w:right w:val="single" w:sz="4" w:space="0" w:color="auto"/>
            </w:tcBorders>
          </w:tcPr>
          <w:p w14:paraId="01536D49"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500</w:t>
            </w:r>
          </w:p>
        </w:tc>
        <w:tc>
          <w:tcPr>
            <w:tcW w:w="3191" w:type="dxa"/>
            <w:tcBorders>
              <w:top w:val="single" w:sz="4" w:space="0" w:color="auto"/>
              <w:left w:val="single" w:sz="4" w:space="0" w:color="auto"/>
              <w:bottom w:val="single" w:sz="4" w:space="0" w:color="auto"/>
            </w:tcBorders>
          </w:tcPr>
          <w:p w14:paraId="789449E1"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3,80</w:t>
            </w:r>
          </w:p>
        </w:tc>
      </w:tr>
      <w:tr w:rsidR="00A1601E" w:rsidRPr="00B66512" w14:paraId="1E994E41"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07D0E4D3"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Таскинский сельсовет</w:t>
            </w:r>
          </w:p>
        </w:tc>
        <w:tc>
          <w:tcPr>
            <w:tcW w:w="2775" w:type="dxa"/>
            <w:tcBorders>
              <w:top w:val="single" w:sz="4" w:space="0" w:color="auto"/>
              <w:left w:val="single" w:sz="4" w:space="0" w:color="auto"/>
              <w:bottom w:val="single" w:sz="4" w:space="0" w:color="auto"/>
              <w:right w:val="single" w:sz="4" w:space="0" w:color="auto"/>
            </w:tcBorders>
          </w:tcPr>
          <w:p w14:paraId="73E7339D"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586</w:t>
            </w:r>
          </w:p>
        </w:tc>
        <w:tc>
          <w:tcPr>
            <w:tcW w:w="3191" w:type="dxa"/>
            <w:tcBorders>
              <w:top w:val="single" w:sz="4" w:space="0" w:color="auto"/>
              <w:left w:val="single" w:sz="4" w:space="0" w:color="auto"/>
              <w:bottom w:val="single" w:sz="4" w:space="0" w:color="auto"/>
            </w:tcBorders>
          </w:tcPr>
          <w:p w14:paraId="07B3FA63"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4,45</w:t>
            </w:r>
          </w:p>
        </w:tc>
      </w:tr>
      <w:tr w:rsidR="00A1601E" w:rsidRPr="00B66512" w14:paraId="7F613BE0"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7A5BE67B"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Сагайский сельсовет</w:t>
            </w:r>
          </w:p>
        </w:tc>
        <w:tc>
          <w:tcPr>
            <w:tcW w:w="2775" w:type="dxa"/>
            <w:tcBorders>
              <w:top w:val="single" w:sz="4" w:space="0" w:color="auto"/>
              <w:left w:val="single" w:sz="4" w:space="0" w:color="auto"/>
              <w:bottom w:val="single" w:sz="4" w:space="0" w:color="auto"/>
              <w:right w:val="single" w:sz="4" w:space="0" w:color="auto"/>
            </w:tcBorders>
          </w:tcPr>
          <w:p w14:paraId="32A5F8D7"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427</w:t>
            </w:r>
          </w:p>
        </w:tc>
        <w:tc>
          <w:tcPr>
            <w:tcW w:w="3191" w:type="dxa"/>
            <w:tcBorders>
              <w:top w:val="single" w:sz="4" w:space="0" w:color="auto"/>
              <w:left w:val="single" w:sz="4" w:space="0" w:color="auto"/>
              <w:bottom w:val="single" w:sz="4" w:space="0" w:color="auto"/>
            </w:tcBorders>
          </w:tcPr>
          <w:p w14:paraId="24482932"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3,25</w:t>
            </w:r>
          </w:p>
        </w:tc>
      </w:tr>
      <w:tr w:rsidR="00A1601E" w:rsidRPr="00B66512" w14:paraId="01BC4EE0"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504302F9"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Нижнекужебарский сельсовет</w:t>
            </w:r>
          </w:p>
        </w:tc>
        <w:tc>
          <w:tcPr>
            <w:tcW w:w="2775" w:type="dxa"/>
            <w:tcBorders>
              <w:top w:val="single" w:sz="4" w:space="0" w:color="auto"/>
              <w:left w:val="single" w:sz="4" w:space="0" w:color="auto"/>
              <w:bottom w:val="single" w:sz="4" w:space="0" w:color="auto"/>
              <w:right w:val="single" w:sz="4" w:space="0" w:color="auto"/>
            </w:tcBorders>
          </w:tcPr>
          <w:p w14:paraId="35D5FB60"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400</w:t>
            </w:r>
          </w:p>
        </w:tc>
        <w:tc>
          <w:tcPr>
            <w:tcW w:w="3191" w:type="dxa"/>
            <w:tcBorders>
              <w:top w:val="single" w:sz="4" w:space="0" w:color="auto"/>
              <w:left w:val="single" w:sz="4" w:space="0" w:color="auto"/>
              <w:bottom w:val="single" w:sz="4" w:space="0" w:color="auto"/>
            </w:tcBorders>
          </w:tcPr>
          <w:p w14:paraId="6D196172"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3,04</w:t>
            </w:r>
          </w:p>
        </w:tc>
      </w:tr>
      <w:tr w:rsidR="00A1601E" w:rsidRPr="00B66512" w14:paraId="7E660BE3"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302A8F9D"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Таятский сельсовет</w:t>
            </w:r>
          </w:p>
        </w:tc>
        <w:tc>
          <w:tcPr>
            <w:tcW w:w="2775" w:type="dxa"/>
            <w:tcBorders>
              <w:top w:val="single" w:sz="4" w:space="0" w:color="auto"/>
              <w:left w:val="single" w:sz="4" w:space="0" w:color="auto"/>
              <w:bottom w:val="single" w:sz="4" w:space="0" w:color="auto"/>
              <w:right w:val="single" w:sz="4" w:space="0" w:color="auto"/>
            </w:tcBorders>
          </w:tcPr>
          <w:p w14:paraId="6BD44244"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517</w:t>
            </w:r>
          </w:p>
        </w:tc>
        <w:tc>
          <w:tcPr>
            <w:tcW w:w="3191" w:type="dxa"/>
            <w:tcBorders>
              <w:top w:val="single" w:sz="4" w:space="0" w:color="auto"/>
              <w:left w:val="single" w:sz="4" w:space="0" w:color="auto"/>
              <w:bottom w:val="single" w:sz="4" w:space="0" w:color="auto"/>
            </w:tcBorders>
          </w:tcPr>
          <w:p w14:paraId="48FF1F71"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3,93</w:t>
            </w:r>
          </w:p>
        </w:tc>
      </w:tr>
      <w:tr w:rsidR="00A1601E" w:rsidRPr="00B66512" w14:paraId="0B7993A0" w14:textId="77777777">
        <w:tblPrEx>
          <w:tblCellMar>
            <w:top w:w="0" w:type="dxa"/>
            <w:bottom w:w="0" w:type="dxa"/>
          </w:tblCellMar>
        </w:tblPrEx>
        <w:trPr>
          <w:trHeight w:val="345"/>
        </w:trPr>
        <w:tc>
          <w:tcPr>
            <w:tcW w:w="3888" w:type="dxa"/>
            <w:tcBorders>
              <w:top w:val="single" w:sz="4" w:space="0" w:color="auto"/>
              <w:bottom w:val="single" w:sz="4" w:space="0" w:color="auto"/>
              <w:right w:val="single" w:sz="4" w:space="0" w:color="auto"/>
            </w:tcBorders>
          </w:tcPr>
          <w:p w14:paraId="2BE2FB80"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Уджейский сельсовет</w:t>
            </w:r>
          </w:p>
        </w:tc>
        <w:tc>
          <w:tcPr>
            <w:tcW w:w="2775" w:type="dxa"/>
            <w:tcBorders>
              <w:top w:val="single" w:sz="4" w:space="0" w:color="auto"/>
              <w:left w:val="single" w:sz="4" w:space="0" w:color="auto"/>
              <w:bottom w:val="single" w:sz="4" w:space="0" w:color="auto"/>
              <w:right w:val="single" w:sz="4" w:space="0" w:color="auto"/>
            </w:tcBorders>
          </w:tcPr>
          <w:p w14:paraId="3DD7370A" w14:textId="77777777" w:rsidR="00A1601E" w:rsidRPr="00B66512" w:rsidRDefault="006B5E41">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276</w:t>
            </w:r>
          </w:p>
        </w:tc>
        <w:tc>
          <w:tcPr>
            <w:tcW w:w="3191" w:type="dxa"/>
            <w:tcBorders>
              <w:top w:val="single" w:sz="4" w:space="0" w:color="auto"/>
              <w:left w:val="single" w:sz="4" w:space="0" w:color="auto"/>
              <w:bottom w:val="single" w:sz="4" w:space="0" w:color="auto"/>
            </w:tcBorders>
          </w:tcPr>
          <w:p w14:paraId="046756CC"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2,10</w:t>
            </w:r>
          </w:p>
        </w:tc>
      </w:tr>
      <w:tr w:rsidR="00A1601E" w:rsidRPr="00B66512" w14:paraId="3AAE1F20"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5221077D"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Старокопский сельсовет</w:t>
            </w:r>
          </w:p>
        </w:tc>
        <w:tc>
          <w:tcPr>
            <w:tcW w:w="2775" w:type="dxa"/>
            <w:tcBorders>
              <w:top w:val="single" w:sz="4" w:space="0" w:color="auto"/>
              <w:left w:val="single" w:sz="4" w:space="0" w:color="auto"/>
              <w:bottom w:val="single" w:sz="4" w:space="0" w:color="auto"/>
              <w:right w:val="single" w:sz="4" w:space="0" w:color="auto"/>
            </w:tcBorders>
          </w:tcPr>
          <w:p w14:paraId="5829203F"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181</w:t>
            </w:r>
          </w:p>
        </w:tc>
        <w:tc>
          <w:tcPr>
            <w:tcW w:w="3191" w:type="dxa"/>
            <w:tcBorders>
              <w:top w:val="single" w:sz="4" w:space="0" w:color="auto"/>
              <w:left w:val="single" w:sz="4" w:space="0" w:color="auto"/>
              <w:bottom w:val="single" w:sz="4" w:space="0" w:color="auto"/>
            </w:tcBorders>
          </w:tcPr>
          <w:p w14:paraId="3CC708EC"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1,38</w:t>
            </w:r>
          </w:p>
        </w:tc>
      </w:tr>
      <w:tr w:rsidR="00A1601E" w:rsidRPr="00B66512" w14:paraId="734B2E7E"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44ECDCDA"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sz w:val="24"/>
                <w:szCs w:val="24"/>
              </w:rPr>
            </w:pPr>
            <w:r w:rsidRPr="00B66512">
              <w:rPr>
                <w:rFonts w:ascii="Times New Roman CYR" w:hAnsi="Times New Roman CYR" w:cs="Times New Roman CYR"/>
                <w:sz w:val="24"/>
                <w:szCs w:val="24"/>
              </w:rPr>
              <w:t>МО Лебедевский сельсовет</w:t>
            </w:r>
          </w:p>
        </w:tc>
        <w:tc>
          <w:tcPr>
            <w:tcW w:w="2775" w:type="dxa"/>
            <w:tcBorders>
              <w:top w:val="single" w:sz="4" w:space="0" w:color="auto"/>
              <w:left w:val="single" w:sz="4" w:space="0" w:color="auto"/>
              <w:bottom w:val="single" w:sz="4" w:space="0" w:color="auto"/>
              <w:right w:val="single" w:sz="4" w:space="0" w:color="auto"/>
            </w:tcBorders>
          </w:tcPr>
          <w:p w14:paraId="4DE162F3" w14:textId="77777777" w:rsidR="00A1601E" w:rsidRPr="00B66512" w:rsidRDefault="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166</w:t>
            </w:r>
          </w:p>
        </w:tc>
        <w:tc>
          <w:tcPr>
            <w:tcW w:w="3191" w:type="dxa"/>
            <w:tcBorders>
              <w:top w:val="single" w:sz="4" w:space="0" w:color="auto"/>
              <w:left w:val="single" w:sz="4" w:space="0" w:color="auto"/>
              <w:bottom w:val="single" w:sz="4" w:space="0" w:color="auto"/>
            </w:tcBorders>
          </w:tcPr>
          <w:p w14:paraId="5A9DD041"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1,26</w:t>
            </w:r>
          </w:p>
        </w:tc>
      </w:tr>
      <w:tr w:rsidR="00A1601E" w:rsidRPr="00B66512" w14:paraId="254D3CAD" w14:textId="77777777">
        <w:tblPrEx>
          <w:tblCellMar>
            <w:top w:w="0" w:type="dxa"/>
            <w:bottom w:w="0" w:type="dxa"/>
          </w:tblCellMar>
        </w:tblPrEx>
        <w:tc>
          <w:tcPr>
            <w:tcW w:w="3888" w:type="dxa"/>
            <w:tcBorders>
              <w:top w:val="single" w:sz="4" w:space="0" w:color="auto"/>
              <w:bottom w:val="single" w:sz="4" w:space="0" w:color="auto"/>
              <w:right w:val="single" w:sz="4" w:space="0" w:color="auto"/>
            </w:tcBorders>
          </w:tcPr>
          <w:p w14:paraId="264392A8" w14:textId="77777777" w:rsidR="00A1601E" w:rsidRPr="00B66512" w:rsidRDefault="00A1601E">
            <w:pPr>
              <w:autoSpaceDE w:val="0"/>
              <w:autoSpaceDN w:val="0"/>
              <w:adjustRightInd w:val="0"/>
              <w:spacing w:after="0" w:line="240" w:lineRule="auto"/>
              <w:rPr>
                <w:rFonts w:ascii="Times New Roman CYR" w:hAnsi="Times New Roman CYR" w:cs="Times New Roman CYR"/>
                <w:sz w:val="24"/>
                <w:szCs w:val="24"/>
              </w:rPr>
            </w:pPr>
            <w:r w:rsidRPr="00B66512">
              <w:rPr>
                <w:rFonts w:ascii="Times New Roman CYR" w:hAnsi="Times New Roman CYR" w:cs="Times New Roman CYR"/>
                <w:sz w:val="24"/>
                <w:szCs w:val="24"/>
              </w:rPr>
              <w:t xml:space="preserve">Итого  численность населения   </w:t>
            </w:r>
          </w:p>
          <w:p w14:paraId="095E0CAE" w14:textId="77777777" w:rsidR="00A1601E" w:rsidRPr="00B66512" w:rsidRDefault="00A1601E">
            <w:pPr>
              <w:autoSpaceDE w:val="0"/>
              <w:autoSpaceDN w:val="0"/>
              <w:adjustRightInd w:val="0"/>
              <w:spacing w:after="0" w:line="240" w:lineRule="auto"/>
              <w:rPr>
                <w:rFonts w:ascii="Times New Roman CYR" w:hAnsi="Times New Roman CYR" w:cs="Times New Roman CYR"/>
                <w:sz w:val="24"/>
                <w:szCs w:val="24"/>
              </w:rPr>
            </w:pPr>
            <w:r w:rsidRPr="00B66512">
              <w:rPr>
                <w:rFonts w:ascii="Times New Roman CYR" w:hAnsi="Times New Roman CYR" w:cs="Times New Roman CYR"/>
                <w:sz w:val="24"/>
                <w:szCs w:val="24"/>
              </w:rPr>
              <w:t>района  на начало периода 2021 г</w:t>
            </w:r>
          </w:p>
        </w:tc>
        <w:tc>
          <w:tcPr>
            <w:tcW w:w="2775" w:type="dxa"/>
            <w:tcBorders>
              <w:top w:val="single" w:sz="4" w:space="0" w:color="auto"/>
              <w:left w:val="single" w:sz="4" w:space="0" w:color="auto"/>
              <w:bottom w:val="single" w:sz="4" w:space="0" w:color="auto"/>
              <w:right w:val="single" w:sz="4" w:space="0" w:color="auto"/>
            </w:tcBorders>
          </w:tcPr>
          <w:p w14:paraId="781913EC" w14:textId="77777777" w:rsidR="00A1601E" w:rsidRPr="00B66512" w:rsidRDefault="006B5E41"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 xml:space="preserve">13 </w:t>
            </w:r>
            <w:r w:rsidR="00387299" w:rsidRPr="00B66512">
              <w:rPr>
                <w:rFonts w:ascii="Times New Roman CYR" w:hAnsi="Times New Roman CYR" w:cs="Times New Roman CYR"/>
                <w:sz w:val="24"/>
                <w:szCs w:val="24"/>
              </w:rPr>
              <w:t>157</w:t>
            </w:r>
          </w:p>
        </w:tc>
        <w:tc>
          <w:tcPr>
            <w:tcW w:w="3191" w:type="dxa"/>
            <w:tcBorders>
              <w:top w:val="single" w:sz="4" w:space="0" w:color="auto"/>
              <w:left w:val="single" w:sz="4" w:space="0" w:color="auto"/>
              <w:bottom w:val="single" w:sz="4" w:space="0" w:color="auto"/>
            </w:tcBorders>
          </w:tcPr>
          <w:p w14:paraId="751E4515" w14:textId="77777777" w:rsidR="00A1601E" w:rsidRPr="00B66512" w:rsidRDefault="00387299" w:rsidP="00387299">
            <w:pPr>
              <w:autoSpaceDE w:val="0"/>
              <w:autoSpaceDN w:val="0"/>
              <w:adjustRightInd w:val="0"/>
              <w:spacing w:after="0" w:line="240" w:lineRule="auto"/>
              <w:jc w:val="center"/>
              <w:rPr>
                <w:rFonts w:ascii="Times New Roman CYR" w:hAnsi="Times New Roman CYR" w:cs="Times New Roman CYR"/>
                <w:sz w:val="24"/>
                <w:szCs w:val="24"/>
              </w:rPr>
            </w:pPr>
            <w:r w:rsidRPr="00B66512">
              <w:rPr>
                <w:rFonts w:ascii="Times New Roman CYR" w:hAnsi="Times New Roman CYR" w:cs="Times New Roman CYR"/>
                <w:sz w:val="24"/>
                <w:szCs w:val="24"/>
              </w:rPr>
              <w:t>100</w:t>
            </w:r>
          </w:p>
        </w:tc>
      </w:tr>
    </w:tbl>
    <w:p w14:paraId="1F1D910A" w14:textId="77777777" w:rsidR="00A1601E" w:rsidRPr="00B66512" w:rsidRDefault="00A1601E">
      <w:pPr>
        <w:autoSpaceDE w:val="0"/>
        <w:autoSpaceDN w:val="0"/>
        <w:adjustRightInd w:val="0"/>
        <w:spacing w:after="0" w:line="240" w:lineRule="auto"/>
        <w:jc w:val="both"/>
        <w:rPr>
          <w:rFonts w:ascii="Times New Roman CYR" w:hAnsi="Times New Roman CYR" w:cs="Times New Roman CYR"/>
          <w:b/>
          <w:bCs/>
          <w:sz w:val="28"/>
          <w:szCs w:val="28"/>
        </w:rPr>
      </w:pPr>
      <w:r w:rsidRPr="00B66512">
        <w:rPr>
          <w:rFonts w:ascii="Times New Roman CYR" w:hAnsi="Times New Roman CYR" w:cs="Times New Roman CYR"/>
          <w:b/>
          <w:bCs/>
          <w:sz w:val="28"/>
          <w:szCs w:val="28"/>
        </w:rPr>
        <w:t xml:space="preserve">         </w:t>
      </w:r>
    </w:p>
    <w:p w14:paraId="4C51FE74" w14:textId="77777777" w:rsidR="00A1601E" w:rsidRPr="00B66512" w:rsidRDefault="00A1601E" w:rsidP="00CC09A9">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Население района неоднородно,  как по национальному составу (проживает 53-ти национальности: русские, украинцы, поляки, эстонцы, латыши, немцы, мордва, татары и др.), так и по вероисповеданию (православные христиане, лютеране, мусульмане, старообрядцы, баптисты и др.).</w:t>
      </w:r>
    </w:p>
    <w:p w14:paraId="009B8F79" w14:textId="77777777" w:rsidR="00A1601E" w:rsidRPr="00B66512" w:rsidRDefault="00A1601E" w:rsidP="00CC09A9">
      <w:pPr>
        <w:autoSpaceDE w:val="0"/>
        <w:autoSpaceDN w:val="0"/>
        <w:adjustRightInd w:val="0"/>
        <w:spacing w:after="0" w:line="240" w:lineRule="auto"/>
        <w:ind w:firstLine="708"/>
        <w:jc w:val="both"/>
        <w:rPr>
          <w:rFonts w:ascii="Times New Roman CYR" w:hAnsi="Times New Roman CYR" w:cs="Times New Roman CYR"/>
          <w:sz w:val="28"/>
          <w:szCs w:val="28"/>
        </w:rPr>
      </w:pPr>
      <w:r w:rsidRPr="00B66512">
        <w:rPr>
          <w:rFonts w:ascii="Times New Roman CYR" w:hAnsi="Times New Roman CYR" w:cs="Times New Roman CYR"/>
          <w:sz w:val="28"/>
          <w:szCs w:val="28"/>
        </w:rPr>
        <w:t>Численность постоянного населения района по данным</w:t>
      </w:r>
      <w:r w:rsidR="003878A5" w:rsidRPr="00B66512">
        <w:rPr>
          <w:rFonts w:ascii="Times New Roman CYR" w:hAnsi="Times New Roman CYR" w:cs="Times New Roman CYR"/>
          <w:sz w:val="28"/>
          <w:szCs w:val="28"/>
        </w:rPr>
        <w:t xml:space="preserve"> Красноярскстата  на начало 202</w:t>
      </w:r>
      <w:r w:rsidR="007011F4" w:rsidRPr="00B66512">
        <w:rPr>
          <w:rFonts w:ascii="Times New Roman CYR" w:hAnsi="Times New Roman CYR" w:cs="Times New Roman CYR"/>
          <w:sz w:val="28"/>
          <w:szCs w:val="28"/>
        </w:rPr>
        <w:t>4</w:t>
      </w:r>
      <w:r w:rsidR="003878A5" w:rsidRPr="00B66512">
        <w:rPr>
          <w:rFonts w:ascii="Times New Roman CYR" w:hAnsi="Times New Roman CYR" w:cs="Times New Roman CYR"/>
          <w:sz w:val="28"/>
          <w:szCs w:val="28"/>
        </w:rPr>
        <w:t xml:space="preserve"> г.  составила 13 </w:t>
      </w:r>
      <w:r w:rsidR="007011F4" w:rsidRPr="00B66512">
        <w:rPr>
          <w:rFonts w:ascii="Times New Roman CYR" w:hAnsi="Times New Roman CYR" w:cs="Times New Roman CYR"/>
          <w:sz w:val="28"/>
          <w:szCs w:val="28"/>
        </w:rPr>
        <w:t>157</w:t>
      </w:r>
      <w:r w:rsidRPr="00B66512">
        <w:rPr>
          <w:rFonts w:ascii="Times New Roman CYR" w:hAnsi="Times New Roman CYR" w:cs="Times New Roman CYR"/>
          <w:sz w:val="28"/>
          <w:szCs w:val="28"/>
        </w:rPr>
        <w:t xml:space="preserve"> человек, в том числе с. Каратузское</w:t>
      </w:r>
      <w:r w:rsidR="00114CF5" w:rsidRPr="00B66512">
        <w:rPr>
          <w:rFonts w:ascii="Times New Roman CYR" w:hAnsi="Times New Roman CYR" w:cs="Times New Roman CYR"/>
          <w:sz w:val="28"/>
          <w:szCs w:val="28"/>
        </w:rPr>
        <w:t xml:space="preserve"> – 6 5</w:t>
      </w:r>
      <w:r w:rsidR="007011F4" w:rsidRPr="00B66512">
        <w:rPr>
          <w:rFonts w:ascii="Times New Roman CYR" w:hAnsi="Times New Roman CYR" w:cs="Times New Roman CYR"/>
          <w:sz w:val="28"/>
          <w:szCs w:val="28"/>
        </w:rPr>
        <w:t>49</w:t>
      </w:r>
      <w:r w:rsidR="00114CF5" w:rsidRPr="00B66512">
        <w:rPr>
          <w:rFonts w:ascii="Times New Roman CYR" w:hAnsi="Times New Roman CYR" w:cs="Times New Roman CYR"/>
          <w:sz w:val="28"/>
          <w:szCs w:val="28"/>
        </w:rPr>
        <w:t xml:space="preserve"> человек, что составляет  49,</w:t>
      </w:r>
      <w:r w:rsidR="007011F4" w:rsidRPr="00B66512">
        <w:rPr>
          <w:rFonts w:ascii="Times New Roman CYR" w:hAnsi="Times New Roman CYR" w:cs="Times New Roman CYR"/>
          <w:sz w:val="28"/>
          <w:szCs w:val="28"/>
        </w:rPr>
        <w:t>78</w:t>
      </w:r>
      <w:r w:rsidRPr="00B66512">
        <w:rPr>
          <w:rFonts w:ascii="Times New Roman CYR" w:hAnsi="Times New Roman CYR" w:cs="Times New Roman CYR"/>
          <w:sz w:val="28"/>
          <w:szCs w:val="28"/>
        </w:rPr>
        <w:t>% к общей численности населения района.</w:t>
      </w:r>
      <w:r w:rsidR="00114CF5" w:rsidRPr="00B66512">
        <w:rPr>
          <w:rFonts w:ascii="Times New Roman CYR" w:hAnsi="Times New Roman CYR" w:cs="Times New Roman CYR"/>
          <w:sz w:val="28"/>
          <w:szCs w:val="28"/>
        </w:rPr>
        <w:t xml:space="preserve"> </w:t>
      </w:r>
      <w:r w:rsidR="007011F4" w:rsidRPr="00B66512">
        <w:rPr>
          <w:rFonts w:ascii="Times New Roman CYR" w:hAnsi="Times New Roman CYR" w:cs="Times New Roman CYR"/>
          <w:sz w:val="28"/>
          <w:szCs w:val="28"/>
        </w:rPr>
        <w:t>По прогнозным данным к 2027</w:t>
      </w:r>
      <w:r w:rsidRPr="00B66512">
        <w:rPr>
          <w:rFonts w:ascii="Times New Roman CYR" w:hAnsi="Times New Roman CYR" w:cs="Times New Roman CYR"/>
          <w:sz w:val="28"/>
          <w:szCs w:val="28"/>
        </w:rPr>
        <w:t xml:space="preserve"> году предполагается дальнейшее сокращение населения района до 1</w:t>
      </w:r>
      <w:r w:rsidR="008322CA" w:rsidRPr="00B66512">
        <w:rPr>
          <w:rFonts w:ascii="Times New Roman CYR" w:hAnsi="Times New Roman CYR" w:cs="Times New Roman CYR"/>
          <w:sz w:val="28"/>
          <w:szCs w:val="28"/>
        </w:rPr>
        <w:t xml:space="preserve">2 </w:t>
      </w:r>
      <w:r w:rsidR="007011F4" w:rsidRPr="00B66512">
        <w:rPr>
          <w:rFonts w:ascii="Times New Roman CYR" w:hAnsi="Times New Roman CYR" w:cs="Times New Roman CYR"/>
          <w:sz w:val="28"/>
          <w:szCs w:val="28"/>
        </w:rPr>
        <w:t>427</w:t>
      </w:r>
      <w:r w:rsidRPr="00B66512">
        <w:rPr>
          <w:rFonts w:ascii="Times New Roman CYR" w:hAnsi="Times New Roman CYR" w:cs="Times New Roman CYR"/>
          <w:sz w:val="28"/>
          <w:szCs w:val="28"/>
        </w:rPr>
        <w:t xml:space="preserve"> человек.</w:t>
      </w:r>
    </w:p>
    <w:p w14:paraId="6ADBB493" w14:textId="77777777" w:rsidR="00A1601E" w:rsidRPr="00B66512" w:rsidRDefault="00A1601E">
      <w:pPr>
        <w:autoSpaceDE w:val="0"/>
        <w:autoSpaceDN w:val="0"/>
        <w:adjustRightInd w:val="0"/>
        <w:spacing w:after="0" w:line="240" w:lineRule="auto"/>
        <w:ind w:firstLine="708"/>
        <w:jc w:val="both"/>
        <w:rPr>
          <w:rFonts w:ascii="Times New Roman CYR" w:hAnsi="Times New Roman CYR" w:cs="Times New Roman CYR"/>
          <w:sz w:val="28"/>
          <w:szCs w:val="28"/>
        </w:rPr>
      </w:pPr>
      <w:r w:rsidRPr="00B66512">
        <w:rPr>
          <w:rFonts w:ascii="Times New Roman CYR" w:hAnsi="Times New Roman CYR" w:cs="Times New Roman CYR"/>
          <w:sz w:val="28"/>
          <w:szCs w:val="28"/>
        </w:rPr>
        <w:t>Численность постоянного населения (ср</w:t>
      </w:r>
      <w:r w:rsidR="008322CA" w:rsidRPr="00B66512">
        <w:rPr>
          <w:rFonts w:ascii="Times New Roman CYR" w:hAnsi="Times New Roman CYR" w:cs="Times New Roman CYR"/>
          <w:sz w:val="28"/>
          <w:szCs w:val="28"/>
        </w:rPr>
        <w:t>еднегодовая) в 202</w:t>
      </w:r>
      <w:r w:rsidR="007011F4" w:rsidRPr="00B66512">
        <w:rPr>
          <w:rFonts w:ascii="Times New Roman CYR" w:hAnsi="Times New Roman CYR" w:cs="Times New Roman CYR"/>
          <w:sz w:val="28"/>
          <w:szCs w:val="28"/>
        </w:rPr>
        <w:t>3</w:t>
      </w:r>
      <w:r w:rsidR="008322CA" w:rsidRPr="00B66512">
        <w:rPr>
          <w:rFonts w:ascii="Times New Roman CYR" w:hAnsi="Times New Roman CYR" w:cs="Times New Roman CYR"/>
          <w:sz w:val="28"/>
          <w:szCs w:val="28"/>
        </w:rPr>
        <w:t xml:space="preserve"> году составила 13 </w:t>
      </w:r>
      <w:r w:rsidR="007011F4" w:rsidRPr="00B66512">
        <w:rPr>
          <w:rFonts w:ascii="Times New Roman CYR" w:hAnsi="Times New Roman CYR" w:cs="Times New Roman CYR"/>
          <w:sz w:val="28"/>
          <w:szCs w:val="28"/>
        </w:rPr>
        <w:t>262</w:t>
      </w:r>
      <w:r w:rsidRPr="00B66512">
        <w:rPr>
          <w:rFonts w:ascii="Times New Roman CYR" w:hAnsi="Times New Roman CYR" w:cs="Times New Roman CYR"/>
          <w:sz w:val="28"/>
          <w:szCs w:val="28"/>
        </w:rPr>
        <w:t xml:space="preserve"> человек, что н</w:t>
      </w:r>
      <w:r w:rsidR="008322CA" w:rsidRPr="00B66512">
        <w:rPr>
          <w:rFonts w:ascii="Times New Roman CYR" w:hAnsi="Times New Roman CYR" w:cs="Times New Roman CYR"/>
          <w:sz w:val="28"/>
          <w:szCs w:val="28"/>
        </w:rPr>
        <w:t xml:space="preserve">а </w:t>
      </w:r>
      <w:r w:rsidR="007011F4" w:rsidRPr="00B66512">
        <w:rPr>
          <w:rFonts w:ascii="Times New Roman CYR" w:hAnsi="Times New Roman CYR" w:cs="Times New Roman CYR"/>
          <w:sz w:val="28"/>
          <w:szCs w:val="28"/>
        </w:rPr>
        <w:t>201</w:t>
      </w:r>
      <w:r w:rsidR="008322CA" w:rsidRPr="00B66512">
        <w:rPr>
          <w:rFonts w:ascii="Times New Roman CYR" w:hAnsi="Times New Roman CYR" w:cs="Times New Roman CYR"/>
          <w:sz w:val="28"/>
          <w:szCs w:val="28"/>
        </w:rPr>
        <w:t xml:space="preserve"> человека меньше, чем в 202</w:t>
      </w:r>
      <w:r w:rsidR="007011F4" w:rsidRPr="00B66512">
        <w:rPr>
          <w:rFonts w:ascii="Times New Roman CYR" w:hAnsi="Times New Roman CYR" w:cs="Times New Roman CYR"/>
          <w:sz w:val="28"/>
          <w:szCs w:val="28"/>
        </w:rPr>
        <w:t>2</w:t>
      </w:r>
      <w:r w:rsidR="008322CA" w:rsidRPr="00B66512">
        <w:rPr>
          <w:rFonts w:ascii="Times New Roman CYR" w:hAnsi="Times New Roman CYR" w:cs="Times New Roman CYR"/>
          <w:sz w:val="28"/>
          <w:szCs w:val="28"/>
        </w:rPr>
        <w:t xml:space="preserve"> году, или на </w:t>
      </w:r>
      <w:r w:rsidR="007011F4" w:rsidRPr="00B66512">
        <w:rPr>
          <w:rFonts w:ascii="Times New Roman CYR" w:hAnsi="Times New Roman CYR" w:cs="Times New Roman CYR"/>
          <w:sz w:val="28"/>
          <w:szCs w:val="28"/>
        </w:rPr>
        <w:t>1,49</w:t>
      </w:r>
      <w:r w:rsidRPr="00B66512">
        <w:rPr>
          <w:rFonts w:ascii="Times New Roman CYR" w:hAnsi="Times New Roman CYR" w:cs="Times New Roman CYR"/>
          <w:sz w:val="28"/>
          <w:szCs w:val="28"/>
        </w:rPr>
        <w:t>%.</w:t>
      </w:r>
    </w:p>
    <w:p w14:paraId="09AB5E46"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0E4C4D9E"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p>
    <w:p w14:paraId="204A63FE"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2. Промышленность</w:t>
      </w:r>
    </w:p>
    <w:p w14:paraId="60EAC696"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29D154FD" w14:textId="77777777" w:rsidR="00CC09A9" w:rsidRPr="00B66512" w:rsidRDefault="00CC09A9" w:rsidP="00CC09A9">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 2023 году компании вели работы по добыче рассыпного золота такие как - ЗАО ЗДК «Северная» и АО «Карат», геологоразведочные работы вели АС «Ойна», ООО «Титан Сибири». По виду экономической деятельности </w:t>
      </w:r>
      <w:r w:rsidRPr="00B66512">
        <w:rPr>
          <w:rFonts w:ascii="Times New Roman CYR" w:hAnsi="Times New Roman CYR" w:cs="Times New Roman CYR"/>
          <w:sz w:val="28"/>
          <w:szCs w:val="28"/>
          <w:lang w:val="en-US"/>
        </w:rPr>
        <w:t>B</w:t>
      </w:r>
      <w:r w:rsidRPr="00B66512">
        <w:rPr>
          <w:rFonts w:ascii="Times New Roman CYR" w:hAnsi="Times New Roman CYR" w:cs="Times New Roman CYR"/>
          <w:sz w:val="28"/>
          <w:szCs w:val="28"/>
        </w:rPr>
        <w:t xml:space="preserve"> – добыча полезных ископаемых, объем отгруженных  товаров,  работ и услуг за фактический период 2023 года представлен по данным статистики и составил </w:t>
      </w:r>
      <w:r w:rsidRPr="00B66512">
        <w:rPr>
          <w:rFonts w:ascii="Times New Roman CYR" w:hAnsi="Times New Roman CYR" w:cs="Times New Roman CYR"/>
          <w:sz w:val="28"/>
          <w:szCs w:val="28"/>
        </w:rPr>
        <w:lastRenderedPageBreak/>
        <w:t>362 416,00 тыс. руб. и в натуральном выражении добыча руд и концентратов золотосодержащих составила 219 кг. В прогнозном периоде 2025-2027 гг. ожидается ежегодное увеличение объемов отгруженных товаров по данному виду экономической деятельности. В 2025 году 381 968,96 тыс. руб., темп роста к 2024 году  составит 103,43%, в 2026 году - 393 542,62 тыс. руб., темп роста к 2025 году 103,03%, в 2027 году – 401 807,02 тыс. руб., темп роста к 2026 году 102,10%.</w:t>
      </w:r>
    </w:p>
    <w:p w14:paraId="5EB64859" w14:textId="77777777" w:rsidR="00CC09A9" w:rsidRPr="00B66512" w:rsidRDefault="00CC09A9" w:rsidP="00CC09A9">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По виду экономической деятельности D - обеспечение электрической энергией, газом и паром; кондиционирование воздуха, объем отгруженных  товаров,  работ и услуг за фактический период 2023 года представлен также по данным статистики и составил 6 613,00 тыс. рублей, темп роста составил 108,20% по сравнению с 2022 годом. Повышение связано с увеличением потребления электроэнергии населением и прочими потребителями. В прогнозном периоде 2025-2027 гг. ожидается ежегодное увеличение объемов отгруженных товаров по данному виду экономической деятельности. В 2025 году 6 969,79 тыс. руб., темп роста к 2024 году  составил 103,43%, в 2026 году – 7 180,97 тыс. руб., темп роста к 2025 году 103,03%, в 2027 году –7 331,77 тыс. руб., темп роста к 2026 году 102,10%.</w:t>
      </w:r>
    </w:p>
    <w:p w14:paraId="12026164" w14:textId="77777777" w:rsidR="00CC09A9" w:rsidRPr="00B66512" w:rsidRDefault="00CC09A9" w:rsidP="00CC09A9">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По виду экономической деятельности С – обрабатывающие производства, объем отгруженных товаров, работ и услуг за фактический период 2023 года представлен по данным статистики и составил 300 618,00 тыс. рублей, темп роста составил 280,10% по сравнению с 2022 годом. В прогнозном периоде 2025-2027 гг. ожидается ежегодное увеличение объемов отгруженных товаров по данному виду экономической деятельности. В 2025 году 316 836,85 тыс. руб., темп роста к 2024 году  составил 103,43%, в 2026 году –326 437,01тыс. руб., темп роста к 2025 году 103,03%, в 2027 году –333 292,19 тыс. руб., темп роста к 2026 году 102,10%.</w:t>
      </w:r>
    </w:p>
    <w:p w14:paraId="005EF1C1" w14:textId="77777777" w:rsidR="00A1601E" w:rsidRPr="00B66512" w:rsidRDefault="00A1601E" w:rsidP="00CC09A9">
      <w:pPr>
        <w:widowControl w:val="0"/>
        <w:autoSpaceDE w:val="0"/>
        <w:autoSpaceDN w:val="0"/>
        <w:adjustRightInd w:val="0"/>
        <w:spacing w:after="0" w:line="240" w:lineRule="auto"/>
        <w:jc w:val="both"/>
        <w:rPr>
          <w:rFonts w:ascii="Times New Roman CYR" w:hAnsi="Times New Roman CYR" w:cs="Times New Roman CYR"/>
          <w:sz w:val="28"/>
          <w:szCs w:val="24"/>
        </w:rPr>
      </w:pPr>
    </w:p>
    <w:p w14:paraId="556D23F9"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p>
    <w:p w14:paraId="5709DD66"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3. Сельское хозяйство</w:t>
      </w:r>
    </w:p>
    <w:p w14:paraId="307F8765"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2779F267"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Основой развития экономики в районе является сельское хозяйство, включая переработку сельскохозяйственной продукции. Уборочные работы район завершил первым с</w:t>
      </w:r>
      <w:r w:rsidR="00A51B08">
        <w:rPr>
          <w:rFonts w:ascii="Times New Roman CYR" w:hAnsi="Times New Roman CYR" w:cs="Times New Roman CYR"/>
          <w:sz w:val="28"/>
          <w:szCs w:val="28"/>
        </w:rPr>
        <w:t>реди южной группы районов края</w:t>
      </w:r>
      <w:r w:rsidRPr="00B66512">
        <w:rPr>
          <w:rFonts w:ascii="Times New Roman CYR" w:hAnsi="Times New Roman CYR" w:cs="Times New Roman CYR"/>
          <w:sz w:val="28"/>
          <w:szCs w:val="28"/>
        </w:rPr>
        <w:t xml:space="preserve">. Ведущими </w:t>
      </w:r>
      <w:r w:rsidR="00E579A0">
        <w:rPr>
          <w:rFonts w:ascii="Times New Roman CYR" w:hAnsi="Times New Roman CYR" w:cs="Times New Roman CYR"/>
          <w:sz w:val="28"/>
          <w:szCs w:val="28"/>
        </w:rPr>
        <w:t>производителями</w:t>
      </w:r>
      <w:r w:rsidRPr="00B66512">
        <w:rPr>
          <w:rFonts w:ascii="Times New Roman CYR" w:hAnsi="Times New Roman CYR" w:cs="Times New Roman CYR"/>
          <w:sz w:val="28"/>
          <w:szCs w:val="28"/>
        </w:rPr>
        <w:t xml:space="preserve"> в данной отрасли являются:</w:t>
      </w:r>
    </w:p>
    <w:p w14:paraId="0C55228D"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1. АО «Каратузское ДРСУ» - выращивание зерновых культур; </w:t>
      </w:r>
    </w:p>
    <w:p w14:paraId="391B397D"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2. ООО «Стожары» - выращивание зерновых культур;</w:t>
      </w:r>
    </w:p>
    <w:p w14:paraId="64794813"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3. СХА (колхоз) имени Ленина - выращивание зерновых культур;</w:t>
      </w:r>
    </w:p>
    <w:p w14:paraId="1BCEEEAD"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lastRenderedPageBreak/>
        <w:t>4. ИП глава КФХ Брамман И.К. - выращивание зерновых культур.</w:t>
      </w:r>
    </w:p>
    <w:p w14:paraId="6CA71A4B"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Всего в 2023 году получено зерновых культур 29509,92 тн. при средней урожайности 19,62 цн/га в весе после доработки, картофеля – 9066,51 тн. при урожайности 192,78 цн/га, овощей – 1997,75 тн. </w:t>
      </w:r>
    </w:p>
    <w:p w14:paraId="61A898F8"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Производство зерновых культур в 2023 году со снижением на 6,05 % чем в 2022 году, производство картофеля с повышением на 16,4 %, производство овощей увеличилось на 8,3 %. Снижение производства: зерновых связано с погодными условиями. </w:t>
      </w:r>
    </w:p>
    <w:p w14:paraId="1C014753"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Поголовье скота во всех категориях хозяйств района за 2023 год:</w:t>
      </w:r>
    </w:p>
    <w:p w14:paraId="7819FDD6"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крупного рогатого скота снизилось на 10,05 %;</w:t>
      </w:r>
    </w:p>
    <w:p w14:paraId="182BEDE9"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в.т.ч. коров снизилось на 11,2 %;</w:t>
      </w:r>
    </w:p>
    <w:p w14:paraId="6852BE29"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лошадей увеличилось на 2,6 %;</w:t>
      </w:r>
    </w:p>
    <w:p w14:paraId="495625C7"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свиней снизилось на 9,3 %;</w:t>
      </w:r>
    </w:p>
    <w:p w14:paraId="08F418F1"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овец, коз снизилось на 19,5 %.</w:t>
      </w:r>
    </w:p>
    <w:p w14:paraId="176D7A45"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Снижение поголовья сельскохозяйственных животных связано </w:t>
      </w:r>
      <w:r w:rsidR="00E579A0">
        <w:rPr>
          <w:rFonts w:ascii="Times New Roman CYR" w:hAnsi="Times New Roman CYR" w:cs="Times New Roman CYR"/>
          <w:sz w:val="28"/>
          <w:szCs w:val="28"/>
        </w:rPr>
        <w:t xml:space="preserve">с введенным в 2023 году на территории Каратузского сельсовета режима АЧС, а также </w:t>
      </w:r>
      <w:r w:rsidRPr="00B66512">
        <w:rPr>
          <w:rFonts w:ascii="Times New Roman CYR" w:hAnsi="Times New Roman CYR" w:cs="Times New Roman CYR"/>
          <w:sz w:val="28"/>
          <w:szCs w:val="28"/>
        </w:rPr>
        <w:t>с ростом цен на корма для содержания скота.</w:t>
      </w:r>
    </w:p>
    <w:p w14:paraId="5DF85CB1"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Производство скота и птицы на убой (в живом весе)  снизилось на 348 тонн или 16,8 % к 2022 году, произошло снижение производства молока на 392 тн. или 7,7 % и яиц на 27 тыс. штук или 1,8 %. Снижение продукции животноводства связано с сокращением поголовья сельскохозяйственных животных.</w:t>
      </w:r>
    </w:p>
    <w:p w14:paraId="1C08D1E9"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В структуре производства сельского хозяйства агропромышленного комплекса района в 2023 году основное место занимала продукция животноводства, которая составляла 57,5 %, а также продукция растениеводства – 42,4 %. Объём продукции сельского хозяйства в хозяйствах всех категорий в 2023 году в действующих ценах составил 1428532,0 тыс. рублей (к уровню 2022 года на -6,2 %), в том числе продукции растениеводства 606443,0 тыс. рублей (к уровню 2022 года на -18,9 %) и объем продукции животноводства 822088,0 тыс. рублей (к уровню 2022 года увеличение на 6,2 %). Оценивая текущее экономическое состояние АПК, необходимо отметить, что по данным органов государственной статистики сельскохозяйственную продукцию производят 3 сельскохозяйственных предприятия, четыре кооператива, 14 кресть</w:t>
      </w:r>
      <w:r w:rsidR="008B2619">
        <w:rPr>
          <w:rFonts w:ascii="Times New Roman CYR" w:hAnsi="Times New Roman CYR" w:cs="Times New Roman CYR"/>
          <w:sz w:val="28"/>
          <w:szCs w:val="28"/>
        </w:rPr>
        <w:t xml:space="preserve">янских (фермерских) хозяйства и </w:t>
      </w:r>
      <w:r w:rsidRPr="00B66512">
        <w:rPr>
          <w:rFonts w:ascii="Times New Roman CYR" w:hAnsi="Times New Roman CYR" w:cs="Times New Roman CYR"/>
          <w:sz w:val="28"/>
          <w:szCs w:val="28"/>
        </w:rPr>
        <w:t xml:space="preserve">7404 личных подсобных хозяйств. </w:t>
      </w:r>
      <w:r w:rsidR="008B2619">
        <w:rPr>
          <w:rFonts w:ascii="Times New Roman CYR" w:hAnsi="Times New Roman CYR" w:cs="Times New Roman CYR"/>
          <w:sz w:val="28"/>
          <w:szCs w:val="28"/>
        </w:rPr>
        <w:t>З</w:t>
      </w:r>
      <w:r w:rsidRPr="00B66512">
        <w:rPr>
          <w:rFonts w:ascii="Times New Roman CYR" w:hAnsi="Times New Roman CYR" w:cs="Times New Roman CYR"/>
          <w:sz w:val="28"/>
          <w:szCs w:val="28"/>
        </w:rPr>
        <w:t>а 2023 год убыточных предприятий</w:t>
      </w:r>
      <w:r w:rsidR="008B2619">
        <w:rPr>
          <w:rFonts w:ascii="Times New Roman CYR" w:hAnsi="Times New Roman CYR" w:cs="Times New Roman CYR"/>
          <w:sz w:val="28"/>
          <w:szCs w:val="28"/>
        </w:rPr>
        <w:t xml:space="preserve"> в отрасли не было, рентабельность составила 2,98%.</w:t>
      </w:r>
    </w:p>
    <w:p w14:paraId="1969A8CB"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Среднесрочный прогноз по отрасли сельское хозяйство разработан с учетом решения задач, обозначенных в муниципальной программе «Развитие сельского хозяйства в Каратузском районе». Программа ориентирована на развитие сельских территорий, рост занятости и уровня жизни сельского населения. </w:t>
      </w:r>
    </w:p>
    <w:p w14:paraId="057D42B9"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Объем произведенных товаров, выполненных работ и услуг собственными силами организаций по чистым видам деятельности по полному кругу </w:t>
      </w:r>
      <w:r w:rsidRPr="00B66512">
        <w:rPr>
          <w:rFonts w:ascii="Times New Roman CYR" w:hAnsi="Times New Roman CYR" w:cs="Times New Roman CYR"/>
          <w:sz w:val="28"/>
          <w:szCs w:val="28"/>
        </w:rPr>
        <w:lastRenderedPageBreak/>
        <w:t>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 в отчетном периоде  составила  1428532 тыс. руб., к уровню 2022 года снижение на -6,2 %, по оценке в 2024 году ожидается положительная динамика на 9,3 % и составит 1560922,0 тыс. руб. при индексе производства 108,72 % к отчетному 2023 году. На прогнозный период также ожидается положительная динамика, за счет увеличения урожайности и площади посева: 2025 г. – 1661210,0 тыс. руб. (темп роста к 2024 году 106,4%), 2026 г.- 1763903,0 тыс. руб. (темп роста к 2025 году 106,2%), 2027 г. – 1874900,0 тыс. руб. (темп роста к 2026 году 106,3%).</w:t>
      </w:r>
    </w:p>
    <w:p w14:paraId="317577EB"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Также прогнозом предусмотрен рост индекса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 который составит в 2024 году 100,5%, в 2025 году – 102,1 %, в 2026 году – 102,2%,  в 2027 году – 102,4% согласно 2 варианта прогноза. </w:t>
      </w:r>
    </w:p>
    <w:p w14:paraId="02863B81"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r w:rsidRPr="00B66512">
        <w:rPr>
          <w:rFonts w:ascii="Times New Roman CYR" w:hAnsi="Times New Roman CYR" w:cs="Times New Roman CYR"/>
          <w:b/>
          <w:sz w:val="28"/>
          <w:szCs w:val="28"/>
        </w:rPr>
        <w:t>Растениеводство</w:t>
      </w:r>
    </w:p>
    <w:p w14:paraId="72A58220"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Фактические площади сельскохозяйственных угодий в 2023 году составили 29 452 га или 100 % к площади 2022 года. Валовой сбор зерна в весе после доработки составил 29509,92 тонн или 93,9 % к уровню 2022 года. Урожайность зерновых культур в среднем по району (в весе после доработки) составила 19,62 ц/га или на 4,07 ц/га ниже урожайности 2022 года.</w:t>
      </w:r>
    </w:p>
    <w:p w14:paraId="527E03A8"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Производством картофеля и овощей в основном занимается население района. Картофеля в районе произведено на 16,4 %  больше уровня 2022 года, валовой сбор составил 9066,51 тонн. Овощей произведено на 8,3 % выше уровня 2022 года, валовой сбор составил 1997,75 тонны. Снижение валового сбора зерновых вызвано неблагоприятными погодными условиями.</w:t>
      </w:r>
    </w:p>
    <w:p w14:paraId="475F2284"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Низкий внутренний спрос на зерновые, а так же рост  цен реализации на зерно создают условия для незначительного роста объёмов зерновых культур. В оценке 2024 года планируется произвести 29805,0 тонн зерна в весе после доработки при темпе роста 101,0 % к 2023 году. К 2027 году производство зерна по вариантам прогноза достигнет 31742,3 тонн при темпе роста 107,6 % к достигнутому уровню 2023 года по первому варианту прогноза и 32487,5 тонн при темпе роста 110,9 % по второму варианту прогноза. </w:t>
      </w:r>
    </w:p>
    <w:p w14:paraId="27BBFDAB"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Урожайность зерновых культур к 2026 году планируется стабильная в пределах 21,11-21,6 ц./га по вариантам прогноза,  при условии  применения качественного сортового посевного материала и применению средств защиты </w:t>
      </w:r>
      <w:r w:rsidRPr="00B66512">
        <w:rPr>
          <w:rFonts w:ascii="Times New Roman CYR" w:hAnsi="Times New Roman CYR" w:cs="Times New Roman CYR"/>
          <w:sz w:val="28"/>
          <w:szCs w:val="28"/>
        </w:rPr>
        <w:lastRenderedPageBreak/>
        <w:t>растений.</w:t>
      </w:r>
    </w:p>
    <w:p w14:paraId="71FF492F"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Производство овощей в 2027 году по вариантам прогноза составит 2148,9 – 2199,3 тонн при темпе роста к достигнутому уровню 2023 года 107,6 – 110,1 %. Производство картофеля в 2027 году по вариантам прогноза планируется в пределах 9752,4 – 9981,3 тонн при темпе роста 107,6 – 110,1 % к уровню 2023 года.</w:t>
      </w:r>
    </w:p>
    <w:p w14:paraId="69A77586"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Индекс производства к соответствующему периоду предыдущего года в сопоставимых ценах  к 2027 году составит 102,4%</w:t>
      </w:r>
    </w:p>
    <w:p w14:paraId="585493C8"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r w:rsidRPr="00B66512">
        <w:rPr>
          <w:rFonts w:ascii="Times New Roman CYR" w:hAnsi="Times New Roman CYR" w:cs="Times New Roman CYR"/>
          <w:b/>
          <w:sz w:val="28"/>
          <w:szCs w:val="28"/>
        </w:rPr>
        <w:t xml:space="preserve">Животноводство </w:t>
      </w:r>
    </w:p>
    <w:p w14:paraId="3FB65465"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Поголовье скота и птицы по всем категориям хозяйств в 2023 году по сравнению с фактическими показателями 2022 года составило: КРС – 3069 голов, в том числе коров 1345 голов. Поголовье свиней – 3691 голов, овец и коз – 744 голов. Отклонение общего поголовья КРС составило со снижением на 343 головы или 10,0 % к уровню 2022 года, в том числе по поголовью коров снижение составило 170 голов или 11,2 %. Поголовье свиней уменьшилось на 381 голов к уровню 2022 года или 9,3 %. Основная причина снижения поголовья – рост затрат на содержание сельскохозяйственных животных в личных подсобных хозяйствах района. Производство молока в 2023 году во всех категориях хозяйств района снизилось на 7,7 % к уровню 2022 года и составило 4713 тонн. Производство скота и птицы (в живом весе) в 2023 году составило 1717 тонны или на 16,8 % ниже уровня 2022 года. </w:t>
      </w:r>
    </w:p>
    <w:p w14:paraId="50D08061"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 прогнозируемом периоде одним из приоритетных направлений развития сельского хозяйства  в районе будет развитие животноводства. </w:t>
      </w:r>
    </w:p>
    <w:p w14:paraId="69D9F356"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К первоочередным мерам реализации указанного направления относятся:</w:t>
      </w:r>
    </w:p>
    <w:p w14:paraId="69590BDF"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создание условий для привлечения в животноводство инвестиционных ресурсов;</w:t>
      </w:r>
    </w:p>
    <w:p w14:paraId="18295DDB"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наращивание объемов поставок техники, оборудования и племенного скота; </w:t>
      </w:r>
    </w:p>
    <w:p w14:paraId="060246FF"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укрепление кормовой базы животноводства и улучшение работы ветеринарной службы;</w:t>
      </w:r>
    </w:p>
    <w:p w14:paraId="206A4D1A"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увеличение объемов товарного производства в сфере малых форм хозяйствования.</w:t>
      </w:r>
    </w:p>
    <w:p w14:paraId="291C9538"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Результатом реализации должно стать увеличение до 2027 года: поголовья крупного рогатого скота на 4,8 %, а также улучшение финансовых результатов животноводческой отрасли.</w:t>
      </w:r>
    </w:p>
    <w:p w14:paraId="489556B7"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 оценке 2024 года производство мяса скота и птицы (в живом весе) составит в объеме 1734,2 тонн или выше на 1,0 % к уровню 2023 года. В 2027 году производство мяса прогнозируется в пределах 1879,2 тонн при темпе роста 108,4 % к оценке 2024 года. </w:t>
      </w:r>
    </w:p>
    <w:p w14:paraId="242C8E5D" w14:textId="77777777" w:rsidR="00B01835" w:rsidRPr="00B66512" w:rsidRDefault="00B01835" w:rsidP="00B0183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Поголовье коров к концу 2027 года прогнозируется увеличить на 65 голов или 4,8 % к достигнутому уровню 2023 года. Объем производства молока в 2024 году возрастет на 1,0 % и составит в пределах 4760,1 тонн. В последующие годы </w:t>
      </w:r>
      <w:r w:rsidRPr="00B66512">
        <w:rPr>
          <w:rFonts w:ascii="Times New Roman CYR" w:hAnsi="Times New Roman CYR" w:cs="Times New Roman CYR"/>
          <w:sz w:val="28"/>
          <w:szCs w:val="28"/>
        </w:rPr>
        <w:lastRenderedPageBreak/>
        <w:t xml:space="preserve">в связи с ожидаемым ростом продуктивности коров молочного стада прогнозируется прирост производства молока в 2027 году по первому варианту до 5069,5 тонн или на 7,6 процента к уровню 2023 года и соответственно по второму варианту 5158,1 тонн или 9,4 процента к достигнутому результату 2023 года. </w:t>
      </w:r>
    </w:p>
    <w:p w14:paraId="5C5E3E21" w14:textId="77777777" w:rsidR="007E512F" w:rsidRPr="00B66512" w:rsidRDefault="00B01835" w:rsidP="00421B8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Индекс производства к соответствующему периоду предыдущего года в сопоставимых ценах к 2027 году составит 102,4 %.</w:t>
      </w:r>
    </w:p>
    <w:p w14:paraId="2682689B" w14:textId="77777777" w:rsidR="00421B8F" w:rsidRPr="00B66512" w:rsidRDefault="00421B8F" w:rsidP="00421B8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14:paraId="73F3DC5F"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4. Строительство</w:t>
      </w:r>
    </w:p>
    <w:p w14:paraId="6D5A0F16"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3301B275"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 xml:space="preserve">Строительство в Каратузском районе осуществляется в основном частными организациями. </w:t>
      </w:r>
    </w:p>
    <w:p w14:paraId="632808E5"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 xml:space="preserve">За 2023 год по району введено 4 549 кв. метров жилой площади, что составляет 118,74% к уровню 2022 года. </w:t>
      </w:r>
    </w:p>
    <w:p w14:paraId="11EA2398"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По оценке 2024 года ввод малоэтажного жилья ожидается 4 580,00 кв. м, в прогнозируемом периоде планируется ввод: в 2025 году – 4 580,00 кв. м (темп роста к 2024 году 100,00%), в 2026 году – 4 611 кв. м (темп роста к 2025 году 100,68%), в 2027 году – 4 642 кв. м. (темп роста к 2026 году 100,67%).</w:t>
      </w:r>
    </w:p>
    <w:p w14:paraId="5E642EFF"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Общая площадь жилищного фонда, введенная за 2023 год, приходящаяся на одного жителя составляет 0,34 кв. метра, по оценке 2024 года этот показатель увеличится до 0,35 кв. м. (темп роста 102,94% к 2023 году), в прогнозируемом периоде 2025 г. составит 0,36 кв. м. (темп роста 102,86% к 2024 году), в 2026 году – 0,37 кв. м. (темп роста 102,79% к 2025 году), в 2027 году – 0,38 кв. м. (темп роста 102,70% к уровню 2026 года).</w:t>
      </w:r>
    </w:p>
    <w:p w14:paraId="446BCFFE"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Обеспечение жильем в селе молодых специалистов и молодых семей остается приоритетным направлением на ближайшие годы. Работая в данном направлении, в 2023 году Каратузский район продолжил участие в жилищных программах, реализация которых осуществляется за счет федерального, краевого и местного бюджетов.</w:t>
      </w:r>
    </w:p>
    <w:p w14:paraId="77171791"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При совместной работе с Министерством строительства Красноярского края в районе реализуется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14:paraId="4BEFFCC7"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За последние два года 2022-2023 по программе улучшили свои жилищные условия 8 молодых семей, было приобретено либо построено около 700 кв. м. жилья.</w:t>
      </w:r>
    </w:p>
    <w:p w14:paraId="50C135BC"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 xml:space="preserve">Вторая программа, в которой участвует наш район для улучшения жилищных условий молодых семей и молодых специалистов, а так же </w:t>
      </w:r>
      <w:r w:rsidRPr="00B66512">
        <w:rPr>
          <w:rFonts w:ascii="Times New Roman CYR" w:hAnsi="Times New Roman CYR" w:cs="Times New Roman CYR"/>
          <w:bCs/>
          <w:sz w:val="28"/>
          <w:szCs w:val="28"/>
          <w:lang w:eastAsia="en-US"/>
        </w:rPr>
        <w:lastRenderedPageBreak/>
        <w:t>привлечения молодежи на село подпрограмма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30.09.2013 № 506-п.</w:t>
      </w:r>
    </w:p>
    <w:p w14:paraId="1F37462A"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Для улучшения жилищных условий граждан, молодых семей и молодых специалистов Каратузский район участвует в мероприятиях подпрограммы «Комплексное развитие сельских территорий».</w:t>
      </w:r>
    </w:p>
    <w:p w14:paraId="268B7D12"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За 2022 год выдано 2 свидетельства молодым семьям и молодым специалистам на строительство или приобретение жилья. Общая площадь построенного и приобретенного жилья составила более 105 м2.</w:t>
      </w:r>
    </w:p>
    <w:p w14:paraId="5049DDC6"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За отчетный 2023 год выдано 14 свидетельств молодым семьям и молодым специалистам на строительство или приобретение жилья. Общая площадь построенного и приобретенного жилья составила более 1000 м2.</w:t>
      </w:r>
    </w:p>
    <w:p w14:paraId="3CCDE4A6"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В Каратузском районе в рамках ФЗ №159-ФЗ «О дополнительных гарантиях по социальной поддержке детей-сирот и детей, оставшихся без попечения родителей» в 2022 году приобретено 7 домов, в 2023 году 4 дома.</w:t>
      </w:r>
    </w:p>
    <w:p w14:paraId="41C9877A"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В плановом трехлетнем периоде 2025-2027 годы продолжится участие района в жилищных программах.</w:t>
      </w:r>
    </w:p>
    <w:p w14:paraId="6B5F1E9F" w14:textId="77777777" w:rsidR="00802492"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Анализ отчетных данных показывает, что общая площадь жилых помещений, приходящаяся на одного жителя в отчетном 2023 году 29,15 кв.м. По оценке 2024 года ожидается 30,06 кв.м, в 2025 – 31,00 кв.м., к 2026 году – 31,97 кв.м., к 2027 году – 32,94 кв.м.</w:t>
      </w:r>
    </w:p>
    <w:p w14:paraId="3B26A8A8" w14:textId="77777777" w:rsidR="00A1601E" w:rsidRPr="00B66512" w:rsidRDefault="00802492" w:rsidP="00802492">
      <w:pPr>
        <w:autoSpaceDE w:val="0"/>
        <w:autoSpaceDN w:val="0"/>
        <w:adjustRightInd w:val="0"/>
        <w:spacing w:after="0" w:line="240" w:lineRule="auto"/>
        <w:ind w:firstLine="709"/>
        <w:jc w:val="both"/>
        <w:rPr>
          <w:rFonts w:ascii="Times New Roman CYR" w:hAnsi="Times New Roman CYR" w:cs="Times New Roman CYR"/>
          <w:bCs/>
          <w:sz w:val="28"/>
          <w:szCs w:val="28"/>
          <w:lang w:eastAsia="en-US"/>
        </w:rPr>
      </w:pPr>
      <w:r w:rsidRPr="00B66512">
        <w:rPr>
          <w:rFonts w:ascii="Times New Roman CYR" w:hAnsi="Times New Roman CYR" w:cs="Times New Roman CYR"/>
          <w:bCs/>
          <w:sz w:val="28"/>
          <w:szCs w:val="28"/>
          <w:lang w:eastAsia="en-US"/>
        </w:rPr>
        <w:t>Обеспеченность граждан жильем растет за счет ввода нового жилья и снижения численности населения района. В 2023 году введено в эксплуатацию индивидуального жилищного строительства общей площадью 4549 кв. м., за январь-декабрь 2023 года введено 4549 кв. метров жилой площади.</w:t>
      </w:r>
    </w:p>
    <w:p w14:paraId="55210847" w14:textId="77777777" w:rsidR="00802492" w:rsidRPr="00B66512" w:rsidRDefault="00802492">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6F475E10"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5. Инвестиции</w:t>
      </w:r>
    </w:p>
    <w:p w14:paraId="1FF07696"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67022C2F"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Объем инвестиций за счет всех источников финансирования (без субъектов МСП) за отчетный 2023 год составил </w:t>
      </w:r>
      <w:r w:rsidRPr="00B66512">
        <w:rPr>
          <w:rFonts w:ascii="Times New Roman CYR" w:hAnsi="Times New Roman CYR" w:cs="Times New Roman CYR"/>
          <w:color w:val="000000"/>
          <w:sz w:val="28"/>
          <w:szCs w:val="28"/>
        </w:rPr>
        <w:t>202 698,00</w:t>
      </w:r>
      <w:r w:rsidRPr="00B66512">
        <w:rPr>
          <w:rFonts w:ascii="Times New Roman CYR" w:hAnsi="Times New Roman CYR" w:cs="Times New Roman CYR"/>
          <w:sz w:val="28"/>
          <w:szCs w:val="28"/>
        </w:rPr>
        <w:t xml:space="preserve"> тыс. рублей, увеличение к уровню 2022 года в действующих ценах на </w:t>
      </w:r>
      <w:r w:rsidRPr="00B66512">
        <w:rPr>
          <w:rFonts w:ascii="Times New Roman CYR" w:hAnsi="Times New Roman CYR" w:cs="Times New Roman CYR"/>
          <w:color w:val="000000"/>
          <w:sz w:val="28"/>
          <w:szCs w:val="28"/>
        </w:rPr>
        <w:t>57,</w:t>
      </w:r>
      <w:r w:rsidRPr="00B66512">
        <w:rPr>
          <w:rFonts w:ascii="Times New Roman CYR" w:hAnsi="Times New Roman CYR" w:cs="Times New Roman CYR"/>
          <w:sz w:val="28"/>
          <w:szCs w:val="28"/>
        </w:rPr>
        <w:t xml:space="preserve">95% (2022 год – 128 331,0 тыс. рублей). </w:t>
      </w:r>
    </w:p>
    <w:p w14:paraId="59660327"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Объем инвестиций в 2023 году в основной капитал за счет бюджетных средств составил 168 029,00 тыс. рублей, темп роста к уровню 2022 года в действующих ценах 313,53% (2022 год – 53 592,00 тыс. рублей). </w:t>
      </w:r>
    </w:p>
    <w:p w14:paraId="3993E794"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Объем инвестиций в основной капитал (за исключением бюджетных средств) в расчёте на 1 жителя за 2023 год составил 2 614,16 рублей, по отношению к 2022 году темп роста в действующих ценах составляет 47,09% (2022 год – 5 551,44 тыс. рублей). </w:t>
      </w:r>
    </w:p>
    <w:p w14:paraId="7A27EEA1" w14:textId="77777777" w:rsidR="007A5205" w:rsidRPr="00B66512" w:rsidRDefault="007A5205" w:rsidP="007A5205">
      <w:pPr>
        <w:autoSpaceDE w:val="0"/>
        <w:autoSpaceDN w:val="0"/>
        <w:adjustRightInd w:val="0"/>
        <w:spacing w:after="0"/>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lastRenderedPageBreak/>
        <w:t>В структуре видов экономической деятельности наибольший удельный вес (28,15%) приходится на «Государственное управление и обеспечение военной безопасности; социальное обеспечение». Объем инвестиций за 2023 год составил 57 060,00 тыс. рублей (2022 год – 24 383,00 тыс. рублей), темп роста к уровню 2022 года составил 234%.</w:t>
      </w:r>
    </w:p>
    <w:p w14:paraId="68FA9CD5" w14:textId="77777777" w:rsidR="007A5205" w:rsidRPr="00B66512" w:rsidRDefault="007A5205" w:rsidP="007A5205">
      <w:pPr>
        <w:autoSpaceDE w:val="0"/>
        <w:autoSpaceDN w:val="0"/>
        <w:adjustRightInd w:val="0"/>
        <w:spacing w:after="0"/>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Удельный вес от общего объема по виду экономической деятельности «Добыча полезных ископаемых» - 13,89%, а объем инвестиций составил 28 158,00 тыс. рублей (2022 год – 0 тыс. рублей). Рост связан с возобновлением работ на территории района золотодобывающей компании ЗАО ЗК «Северная».</w:t>
      </w:r>
    </w:p>
    <w:p w14:paraId="715F8B71" w14:textId="77777777" w:rsidR="007A5205" w:rsidRPr="00B66512" w:rsidRDefault="007A5205" w:rsidP="007A5205">
      <w:pPr>
        <w:autoSpaceDE w:val="0"/>
        <w:autoSpaceDN w:val="0"/>
        <w:adjustRightInd w:val="0"/>
        <w:spacing w:after="0"/>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Удельный вес от общего объема по виду экономической деятельности «Строительство» - 12,12%, а объем инвестиций составил 24 560,00 тыс. рублей (2022 год – 0 тыс. рублей). Рост связан с модернизацией асфальтобетонного завода в АО «Каратузское ДРСУ».</w:t>
      </w:r>
    </w:p>
    <w:p w14:paraId="797555C0" w14:textId="77777777" w:rsidR="007A5205" w:rsidRPr="00B66512" w:rsidRDefault="007A5205" w:rsidP="007A5205">
      <w:pPr>
        <w:autoSpaceDE w:val="0"/>
        <w:autoSpaceDN w:val="0"/>
        <w:adjustRightInd w:val="0"/>
        <w:spacing w:after="0"/>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Удельный вес от общего объема по виду экономической деятельности «Транспортировка и хранение» - 10,64%, а объем инвестиций составил 21 562,00 тыс. рублей (2022 год – 20 271,00 тыс. рублей, темп роста к уровню 2022 года 106,37%.</w:t>
      </w:r>
    </w:p>
    <w:p w14:paraId="25678F94" w14:textId="77777777" w:rsidR="007A5205" w:rsidRPr="00B66512" w:rsidRDefault="007A5205" w:rsidP="007A5205">
      <w:pPr>
        <w:autoSpaceDE w:val="0"/>
        <w:autoSpaceDN w:val="0"/>
        <w:adjustRightInd w:val="0"/>
        <w:spacing w:after="0"/>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По виду экономической деятельности «Деятельность в области культуры, спорта, организации досуга и развлечений» объем инвестиционных вложений в общей структуре инвестиций составил за 2023 год 10,49% или в денежном выражении 21 266 тыс. рублей, а в 2022 году 9 996 тыс. рублей. Темп роста в действующих ценах к 2022 году составил 212,75%. Рост показателя в 2023  году связан с проведением капитального ремонта в Моторском СДК, завершением модернизации Межпоселенческой библиотеки, а также в связи со строительством здания Каратузской детской школы искусств.</w:t>
      </w:r>
    </w:p>
    <w:p w14:paraId="10FBD8BE"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Объем инвестиций в основной капитал по виду экономической деятельности «Деятельность в области здравоохранения и социальных услуг» в общей структуре инвестиций составил 7,61%, а объём  инвестиций составил 15 435 тыс. рублей (2022 год – 8 108 тыс. рублей) в действующих ценах к 2022 году – 190,37%. Увеличение инвестиций связано со строительством врачебной амбулатории в с. Нижние Куряты, открытием модульного ФАП в деревне Лебедевка, приобретением оборудования для паллиативной медицинской помощи, а также приобретением иного медицинского оборудования. </w:t>
      </w:r>
    </w:p>
    <w:p w14:paraId="28B69870" w14:textId="77777777" w:rsidR="007A5205" w:rsidRPr="00B66512" w:rsidRDefault="007A5205" w:rsidP="007A5205">
      <w:pPr>
        <w:autoSpaceDE w:val="0"/>
        <w:autoSpaceDN w:val="0"/>
        <w:adjustRightInd w:val="0"/>
        <w:spacing w:after="0"/>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Удельный вес от общего объема по виду экономической деятельности «Обеспечение электрической энергией, газом и паром; кондиционирование воздуха» – 4,92%, а объём  инвестиций составил 9 978,0 тыс. рублей (2022 год – </w:t>
      </w:r>
      <w:r w:rsidRPr="00B66512">
        <w:rPr>
          <w:rFonts w:ascii="Times New Roman CYR" w:hAnsi="Times New Roman CYR" w:cs="Times New Roman CYR"/>
          <w:sz w:val="28"/>
          <w:szCs w:val="28"/>
        </w:rPr>
        <w:lastRenderedPageBreak/>
        <w:t>13 238,0 тыс. рублей) в действующих ценах к 2022 году – 75,37%. Снижение обусловлено сокращением инвестиционных вложений ПАО «Россети Сибирь», осуществляющего деятельность на территории муниципального образования, в 2023 году было  направлено меньше инвестиций на приобретение оборудования, согласно своей инвестиционной деятельности.</w:t>
      </w:r>
    </w:p>
    <w:p w14:paraId="0002C8FF" w14:textId="77777777" w:rsidR="007A5205" w:rsidRPr="00B66512" w:rsidRDefault="007A5205" w:rsidP="007A5205">
      <w:pPr>
        <w:autoSpaceDE w:val="0"/>
        <w:autoSpaceDN w:val="0"/>
        <w:adjustRightInd w:val="0"/>
        <w:spacing w:after="0"/>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Удельный вес от общего объема по виду экономической деятельности «Образование» - 4,83%, а объем инвестиций 9 786,0 тыс. рублей (2022 год – 11 942,0 тыс. рублей) в действующих ценах к 2022 году – 81,95%. В 2023 году в школы района приобретены необходимые принадлежности для осуществления образовательной деятельности.</w:t>
      </w:r>
    </w:p>
    <w:p w14:paraId="05E59CFB" w14:textId="77777777" w:rsidR="007A5205" w:rsidRPr="00B66512" w:rsidRDefault="007A5205" w:rsidP="007A5205">
      <w:pPr>
        <w:autoSpaceDE w:val="0"/>
        <w:autoSpaceDN w:val="0"/>
        <w:adjustRightInd w:val="0"/>
        <w:spacing w:after="0"/>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Удельный вес от общего объема по виду экономической деятельности «Сельское, лесное хозяйство, охота, рыболовство и рыбоводство» - 4,32%, а объем инвестиций 8 748,0 тыс. рублей (2022 год – 30 209,0 тыс. рублей) в действующих ценах к 2022 году – 28,96%. АО «Каратузское ДРСУ» было приобретено: сельскохозяйственные бороны, жатки для сбора сельскохозяйственных культур, комплекс для внесения безводного аммиака, а также автомобиль для агронома.</w:t>
      </w:r>
    </w:p>
    <w:p w14:paraId="54C40175"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Вид экономической деятельности «Торговля оптовая и розничная; ремонт автотранспортных средств и мотоциклов» объем инвестиций в 2023 году составляет 4382,0 тыс. рублей, в действующих ценах к 2022 году – 49,71% (2022 год – 8816 тыс. рублей). Снижение связано с уменьшением инвестиционных вложений в развитие деятельности.</w:t>
      </w:r>
    </w:p>
    <w:p w14:paraId="7E78B69F"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color w:val="000000"/>
          <w:sz w:val="28"/>
          <w:szCs w:val="28"/>
        </w:rPr>
      </w:pPr>
      <w:r w:rsidRPr="00B66512">
        <w:rPr>
          <w:rFonts w:ascii="Times New Roman CYR" w:hAnsi="Times New Roman CYR" w:cs="Times New Roman CYR"/>
          <w:sz w:val="28"/>
          <w:szCs w:val="28"/>
        </w:rPr>
        <w:t>По виду экономической деятельности «Деятельность в области информации и связи» в 2023 году инвестиционные вложения составили 515,0 тыс. рублей и темп роста в действующих ценах к 2022 году 79,84% (2022 год – 645 тыс. рублей). Снижение связано уменьшением вложений денежных средств.</w:t>
      </w:r>
    </w:p>
    <w:p w14:paraId="7802DFAE"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По оценке 2024 года 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составит </w:t>
      </w:r>
      <w:r w:rsidRPr="00B66512">
        <w:rPr>
          <w:rFonts w:ascii="Times New Roman CYR" w:hAnsi="Times New Roman CYR" w:cs="Times New Roman CYR"/>
          <w:color w:val="000000"/>
          <w:sz w:val="28"/>
          <w:szCs w:val="28"/>
        </w:rPr>
        <w:t>160 611,30</w:t>
      </w:r>
      <w:r w:rsidRPr="00B66512">
        <w:rPr>
          <w:rFonts w:ascii="Times New Roman CYR" w:hAnsi="Times New Roman CYR" w:cs="Times New Roman CYR"/>
          <w:sz w:val="28"/>
          <w:szCs w:val="28"/>
        </w:rPr>
        <w:t xml:space="preserve"> тыс. рублей, темп роста в действующих ценах к уровню 2023 года составит 79,24%, в сопоставимой оценке 72,36%. Снижение планируемых сумм инвестиций по сравнению с отчетным 2023 годом ожидается по разделу </w:t>
      </w:r>
      <w:r w:rsidRPr="00B66512">
        <w:rPr>
          <w:rFonts w:ascii="Times New Roman CYR" w:hAnsi="Times New Roman CYR" w:cs="Times New Roman CYR"/>
          <w:sz w:val="28"/>
          <w:szCs w:val="28"/>
          <w:lang w:val="en-US"/>
        </w:rPr>
        <w:t>B</w:t>
      </w:r>
      <w:r w:rsidRPr="00B66512">
        <w:rPr>
          <w:rFonts w:ascii="Times New Roman CYR" w:hAnsi="Times New Roman CYR" w:cs="Times New Roman CYR"/>
          <w:sz w:val="28"/>
          <w:szCs w:val="28"/>
        </w:rPr>
        <w:t>: Добыча полезных ископаемых, F: Строительство, O: Государственное управление и обеспечение военной безопасности; социальное обеспечение и по разделу H: Транспортировка и хранение.</w:t>
      </w:r>
    </w:p>
    <w:p w14:paraId="214C0209"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lastRenderedPageBreak/>
        <w:t>По оценке 2024 года согласно инвестиционному плану АО «Каратузское ДРСУ», планируемый объем инвестиций 11 650 тыс. руб. Предприятие планирует приобрести сельскохозяйственную технику.</w:t>
      </w:r>
    </w:p>
    <w:p w14:paraId="7BF6D56E"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Объем инвестиций в основной капитал (за исключением бюджетных средств) в расчете на 1 человека населения за отчетный период 2023 года составил </w:t>
      </w:r>
      <w:r w:rsidRPr="00B66512">
        <w:rPr>
          <w:rFonts w:ascii="Times New Roman CYR" w:hAnsi="Times New Roman CYR" w:cs="Times New Roman CYR"/>
          <w:color w:val="000000"/>
          <w:sz w:val="28"/>
          <w:szCs w:val="28"/>
        </w:rPr>
        <w:t>2 614,16</w:t>
      </w:r>
      <w:r w:rsidRPr="00B66512">
        <w:rPr>
          <w:rFonts w:ascii="Times New Roman CYR" w:hAnsi="Times New Roman CYR" w:cs="Times New Roman CYR"/>
          <w:b/>
          <w:bCs/>
          <w:color w:val="000000"/>
        </w:rPr>
        <w:t xml:space="preserve"> </w:t>
      </w:r>
      <w:r w:rsidRPr="00B66512">
        <w:rPr>
          <w:rFonts w:ascii="Times New Roman CYR" w:hAnsi="Times New Roman CYR" w:cs="Times New Roman CYR"/>
          <w:sz w:val="28"/>
          <w:szCs w:val="28"/>
        </w:rPr>
        <w:t>руб., на 2937,28 руб. меньше 2022 года. Снижение связано с уменьшением объема инвестиций без бюджетных средств.</w:t>
      </w:r>
    </w:p>
    <w:p w14:paraId="4766C5B6"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По оценке 2024 г. ожидается увеличение инвестиций в расчете на 1 жителя по отношению к 2023 году на 1125,77 руб. и составит 3739,93., в прогнозном периоде 2025-2027 гг. данный показатель увеличится до 4616,86 руб.</w:t>
      </w:r>
    </w:p>
    <w:p w14:paraId="4CBBAE8F"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На трехлетний плановый период предприниматели планируют реализовать следующие инвестиционные проекты: </w:t>
      </w:r>
    </w:p>
    <w:p w14:paraId="57247CD0"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СХПСК «Удача» «Увеличение производственных мощностей». Ориентировочно стоимость проекта составит 13 млн. руб.</w:t>
      </w:r>
    </w:p>
    <w:p w14:paraId="2DD521BD"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«Строительство магазина самообслуживания» (в 2021 году строительство помещения на сумму 1,5 млн. рублей, 2022-2023 гг. – 14,5 млн. руб. внутренняя отделка помещения и покупка оборудования). Стоимость проекта 16 млн. рублей.</w:t>
      </w:r>
    </w:p>
    <w:p w14:paraId="647C11E5"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 соответствии с краевым законом Красноярского края «О краевом бюджете на 2024 год и плановый период 2025-2026 годов» от 07.12.2023 №6-2296 предусмотрено финансирование из краевого бюджета на строительство следующих объектов: </w:t>
      </w:r>
    </w:p>
    <w:p w14:paraId="06C76DEA"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инженерная защита р. Амыл с. Качулька (2024 год -  113 878,5 тыс. руб.);</w:t>
      </w:r>
    </w:p>
    <w:p w14:paraId="2BD056D1" w14:textId="77777777" w:rsidR="007A5205" w:rsidRPr="00B66512" w:rsidRDefault="007A5205" w:rsidP="007A520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врачебная амбулатория в с. Нижние Куряты Каратузского района (КГБУЗ  «Каратузская РБ») (2024 год – 85 236,6 тыс. рублей);</w:t>
      </w:r>
    </w:p>
    <w:p w14:paraId="729F5B3A" w14:textId="77777777" w:rsidR="007A5205" w:rsidRDefault="007A5205" w:rsidP="008343F5">
      <w:pPr>
        <w:autoSpaceDE w:val="0"/>
        <w:autoSpaceDN w:val="0"/>
        <w:adjustRightInd w:val="0"/>
        <w:spacing w:after="0"/>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врачебная амбулатории в с. Качулька Каратузского района (КГБУЗ  «Каратузская РБ») (202</w:t>
      </w:r>
      <w:r w:rsidR="008343F5">
        <w:rPr>
          <w:rFonts w:ascii="Times New Roman CYR" w:hAnsi="Times New Roman CYR" w:cs="Times New Roman CYR"/>
          <w:sz w:val="28"/>
          <w:szCs w:val="28"/>
        </w:rPr>
        <w:t>5 год – 100 000,0 тыс. рублей).</w:t>
      </w:r>
    </w:p>
    <w:p w14:paraId="667BAEF6" w14:textId="77777777" w:rsidR="008343F5" w:rsidRPr="00B66512" w:rsidRDefault="008343F5" w:rsidP="008343F5">
      <w:pPr>
        <w:autoSpaceDE w:val="0"/>
        <w:autoSpaceDN w:val="0"/>
        <w:adjustRightInd w:val="0"/>
        <w:spacing w:after="0"/>
        <w:ind w:firstLine="709"/>
        <w:jc w:val="both"/>
        <w:rPr>
          <w:rFonts w:ascii="Times New Roman CYR" w:hAnsi="Times New Roman CYR" w:cs="Times New Roman CYR"/>
          <w:sz w:val="28"/>
          <w:szCs w:val="28"/>
        </w:rPr>
      </w:pPr>
    </w:p>
    <w:p w14:paraId="31F40CFA" w14:textId="77777777" w:rsidR="007A5205" w:rsidRPr="00B66512" w:rsidRDefault="007A5205" w:rsidP="007A5205">
      <w:pPr>
        <w:autoSpaceDE w:val="0"/>
        <w:autoSpaceDN w:val="0"/>
        <w:adjustRightInd w:val="0"/>
        <w:ind w:firstLine="709"/>
        <w:jc w:val="center"/>
        <w:rPr>
          <w:rFonts w:ascii="Times New Roman CYR" w:hAnsi="Times New Roman CYR" w:cs="Times New Roman CYR"/>
          <w:b/>
          <w:bCs/>
          <w:szCs w:val="28"/>
        </w:rPr>
      </w:pPr>
      <w:r w:rsidRPr="00B66512">
        <w:rPr>
          <w:rFonts w:ascii="Times New Roman CYR" w:hAnsi="Times New Roman CYR" w:cs="Times New Roman CYR"/>
          <w:b/>
          <w:bCs/>
          <w:szCs w:val="28"/>
        </w:rPr>
        <w:t>Объем инвестиций в основной капитал (за исключением бюджетных средств) в расчете на 1 жителя (по крупным и средним организациям)</w:t>
      </w:r>
    </w:p>
    <w:tbl>
      <w:tblPr>
        <w:tblW w:w="10187" w:type="dxa"/>
        <w:jc w:val="center"/>
        <w:tblLook w:val="04A0" w:firstRow="1" w:lastRow="0" w:firstColumn="1" w:lastColumn="0" w:noHBand="0" w:noVBand="1"/>
      </w:tblPr>
      <w:tblGrid>
        <w:gridCol w:w="2439"/>
        <w:gridCol w:w="1369"/>
        <w:gridCol w:w="1276"/>
        <w:gridCol w:w="1276"/>
        <w:gridCol w:w="1275"/>
        <w:gridCol w:w="1276"/>
        <w:gridCol w:w="1276"/>
      </w:tblGrid>
      <w:tr w:rsidR="007A5205" w:rsidRPr="00B66512" w14:paraId="56561BAF" w14:textId="77777777" w:rsidTr="00F848E9">
        <w:trPr>
          <w:trHeight w:val="289"/>
          <w:jc w:val="center"/>
        </w:trPr>
        <w:tc>
          <w:tcPr>
            <w:tcW w:w="2439" w:type="dxa"/>
            <w:vMerge w:val="restart"/>
            <w:tcBorders>
              <w:top w:val="single" w:sz="4" w:space="0" w:color="auto"/>
              <w:left w:val="single" w:sz="4" w:space="0" w:color="auto"/>
              <w:bottom w:val="single" w:sz="4" w:space="0" w:color="auto"/>
              <w:right w:val="single" w:sz="4" w:space="0" w:color="auto"/>
            </w:tcBorders>
            <w:vAlign w:val="center"/>
            <w:hideMark/>
          </w:tcPr>
          <w:p w14:paraId="7AA2A517"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Наименование показателя и единицы измерения</w:t>
            </w:r>
          </w:p>
        </w:tc>
        <w:tc>
          <w:tcPr>
            <w:tcW w:w="7748" w:type="dxa"/>
            <w:gridSpan w:val="6"/>
            <w:tcBorders>
              <w:top w:val="single" w:sz="4" w:space="0" w:color="auto"/>
              <w:left w:val="nil"/>
              <w:bottom w:val="single" w:sz="4" w:space="0" w:color="auto"/>
              <w:right w:val="single" w:sz="4" w:space="0" w:color="auto"/>
            </w:tcBorders>
            <w:vAlign w:val="center"/>
            <w:hideMark/>
          </w:tcPr>
          <w:p w14:paraId="4CA44E21"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Значения показателя</w:t>
            </w:r>
          </w:p>
        </w:tc>
      </w:tr>
      <w:tr w:rsidR="007A5205" w:rsidRPr="00B66512" w14:paraId="04F73A36" w14:textId="77777777" w:rsidTr="00F848E9">
        <w:trPr>
          <w:trHeight w:val="600"/>
          <w:jc w:val="center"/>
        </w:trPr>
        <w:tc>
          <w:tcPr>
            <w:tcW w:w="2439" w:type="dxa"/>
            <w:vMerge/>
            <w:tcBorders>
              <w:top w:val="single" w:sz="4" w:space="0" w:color="auto"/>
              <w:left w:val="single" w:sz="4" w:space="0" w:color="auto"/>
              <w:bottom w:val="single" w:sz="4" w:space="0" w:color="auto"/>
              <w:right w:val="single" w:sz="4" w:space="0" w:color="auto"/>
            </w:tcBorders>
            <w:vAlign w:val="center"/>
            <w:hideMark/>
          </w:tcPr>
          <w:p w14:paraId="4070DE4B" w14:textId="77777777" w:rsidR="007A5205" w:rsidRPr="00B66512" w:rsidRDefault="007A5205" w:rsidP="00F848E9">
            <w:pPr>
              <w:rPr>
                <w:rFonts w:ascii="Times New Roman" w:hAnsi="Times New Roman"/>
                <w:color w:val="000000"/>
              </w:rPr>
            </w:pPr>
          </w:p>
        </w:tc>
        <w:tc>
          <w:tcPr>
            <w:tcW w:w="1369" w:type="dxa"/>
            <w:tcBorders>
              <w:top w:val="nil"/>
              <w:left w:val="nil"/>
              <w:bottom w:val="single" w:sz="4" w:space="0" w:color="auto"/>
              <w:right w:val="single" w:sz="4" w:space="0" w:color="auto"/>
            </w:tcBorders>
            <w:vAlign w:val="center"/>
            <w:hideMark/>
          </w:tcPr>
          <w:p w14:paraId="450CB54B"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2022 факт</w:t>
            </w:r>
          </w:p>
        </w:tc>
        <w:tc>
          <w:tcPr>
            <w:tcW w:w="1276" w:type="dxa"/>
            <w:tcBorders>
              <w:top w:val="nil"/>
              <w:left w:val="nil"/>
              <w:bottom w:val="single" w:sz="4" w:space="0" w:color="auto"/>
              <w:right w:val="single" w:sz="4" w:space="0" w:color="auto"/>
            </w:tcBorders>
            <w:vAlign w:val="center"/>
            <w:hideMark/>
          </w:tcPr>
          <w:p w14:paraId="1393D41E"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2023 факт</w:t>
            </w:r>
          </w:p>
        </w:tc>
        <w:tc>
          <w:tcPr>
            <w:tcW w:w="1276" w:type="dxa"/>
            <w:tcBorders>
              <w:top w:val="nil"/>
              <w:left w:val="nil"/>
              <w:bottom w:val="single" w:sz="4" w:space="0" w:color="auto"/>
              <w:right w:val="single" w:sz="4" w:space="0" w:color="auto"/>
            </w:tcBorders>
            <w:vAlign w:val="center"/>
            <w:hideMark/>
          </w:tcPr>
          <w:p w14:paraId="293D3C85"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2024 оценка</w:t>
            </w:r>
          </w:p>
        </w:tc>
        <w:tc>
          <w:tcPr>
            <w:tcW w:w="1275" w:type="dxa"/>
            <w:tcBorders>
              <w:top w:val="nil"/>
              <w:left w:val="nil"/>
              <w:bottom w:val="single" w:sz="4" w:space="0" w:color="auto"/>
              <w:right w:val="single" w:sz="4" w:space="0" w:color="auto"/>
            </w:tcBorders>
            <w:vAlign w:val="center"/>
            <w:hideMark/>
          </w:tcPr>
          <w:p w14:paraId="2D4787F2"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2025 прогноз</w:t>
            </w:r>
          </w:p>
        </w:tc>
        <w:tc>
          <w:tcPr>
            <w:tcW w:w="1276" w:type="dxa"/>
            <w:tcBorders>
              <w:top w:val="nil"/>
              <w:left w:val="nil"/>
              <w:bottom w:val="single" w:sz="4" w:space="0" w:color="auto"/>
              <w:right w:val="single" w:sz="4" w:space="0" w:color="auto"/>
            </w:tcBorders>
            <w:vAlign w:val="center"/>
            <w:hideMark/>
          </w:tcPr>
          <w:p w14:paraId="2C370949"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2026 прогноз</w:t>
            </w:r>
          </w:p>
        </w:tc>
        <w:tc>
          <w:tcPr>
            <w:tcW w:w="1276" w:type="dxa"/>
            <w:tcBorders>
              <w:top w:val="nil"/>
              <w:left w:val="nil"/>
              <w:bottom w:val="single" w:sz="4" w:space="0" w:color="auto"/>
              <w:right w:val="single" w:sz="4" w:space="0" w:color="auto"/>
            </w:tcBorders>
            <w:vAlign w:val="center"/>
          </w:tcPr>
          <w:p w14:paraId="566BFC1A" w14:textId="77777777" w:rsidR="007A5205" w:rsidRPr="00B66512" w:rsidRDefault="007A5205" w:rsidP="00F848E9">
            <w:pPr>
              <w:spacing w:after="0" w:line="240" w:lineRule="auto"/>
              <w:jc w:val="center"/>
              <w:rPr>
                <w:rFonts w:ascii="Times New Roman" w:hAnsi="Times New Roman"/>
                <w:color w:val="000000"/>
              </w:rPr>
            </w:pPr>
            <w:r w:rsidRPr="00B66512">
              <w:rPr>
                <w:rFonts w:ascii="Times New Roman" w:hAnsi="Times New Roman"/>
                <w:color w:val="000000"/>
              </w:rPr>
              <w:t>2027</w:t>
            </w:r>
          </w:p>
          <w:p w14:paraId="07B34F56" w14:textId="77777777" w:rsidR="007A5205" w:rsidRPr="00B66512" w:rsidRDefault="007A5205" w:rsidP="00F848E9">
            <w:pPr>
              <w:spacing w:after="0" w:line="240" w:lineRule="auto"/>
              <w:jc w:val="center"/>
              <w:rPr>
                <w:rFonts w:ascii="Times New Roman" w:hAnsi="Times New Roman"/>
                <w:color w:val="000000"/>
              </w:rPr>
            </w:pPr>
            <w:r w:rsidRPr="00B66512">
              <w:rPr>
                <w:rFonts w:ascii="Times New Roman" w:hAnsi="Times New Roman"/>
                <w:color w:val="000000"/>
              </w:rPr>
              <w:t>прогноз</w:t>
            </w:r>
          </w:p>
        </w:tc>
      </w:tr>
      <w:tr w:rsidR="007A5205" w:rsidRPr="00B66512" w14:paraId="699D9111" w14:textId="77777777" w:rsidTr="00F848E9">
        <w:trPr>
          <w:trHeight w:val="900"/>
          <w:jc w:val="center"/>
        </w:trPr>
        <w:tc>
          <w:tcPr>
            <w:tcW w:w="2439" w:type="dxa"/>
            <w:tcBorders>
              <w:top w:val="nil"/>
              <w:left w:val="single" w:sz="4" w:space="0" w:color="auto"/>
              <w:bottom w:val="single" w:sz="4" w:space="0" w:color="auto"/>
              <w:right w:val="single" w:sz="4" w:space="0" w:color="auto"/>
            </w:tcBorders>
            <w:vAlign w:val="center"/>
            <w:hideMark/>
          </w:tcPr>
          <w:p w14:paraId="1B80E44A" w14:textId="77777777" w:rsidR="007A5205" w:rsidRPr="00B66512" w:rsidRDefault="007A5205" w:rsidP="00F848E9">
            <w:pPr>
              <w:rPr>
                <w:rFonts w:ascii="Times New Roman" w:hAnsi="Times New Roman"/>
                <w:color w:val="000000"/>
              </w:rPr>
            </w:pPr>
            <w:r w:rsidRPr="00B66512">
              <w:rPr>
                <w:rFonts w:ascii="Times New Roman" w:hAnsi="Times New Roman"/>
                <w:color w:val="000000"/>
              </w:rPr>
              <w:lastRenderedPageBreak/>
              <w:t>1. Объем инвестиций в основной капитал за счет всех источников финансирования (без субъектов малого предпринимательства), тыс. руб.</w:t>
            </w:r>
          </w:p>
        </w:tc>
        <w:tc>
          <w:tcPr>
            <w:tcW w:w="1369" w:type="dxa"/>
            <w:tcBorders>
              <w:top w:val="nil"/>
              <w:left w:val="nil"/>
              <w:bottom w:val="single" w:sz="4" w:space="0" w:color="auto"/>
              <w:right w:val="single" w:sz="4" w:space="0" w:color="auto"/>
            </w:tcBorders>
            <w:vAlign w:val="center"/>
            <w:hideMark/>
          </w:tcPr>
          <w:p w14:paraId="3AC2A6FA"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128 331,00</w:t>
            </w:r>
          </w:p>
        </w:tc>
        <w:tc>
          <w:tcPr>
            <w:tcW w:w="1276" w:type="dxa"/>
            <w:tcBorders>
              <w:top w:val="nil"/>
              <w:left w:val="nil"/>
              <w:bottom w:val="single" w:sz="4" w:space="0" w:color="auto"/>
              <w:right w:val="single" w:sz="4" w:space="0" w:color="auto"/>
            </w:tcBorders>
            <w:vAlign w:val="center"/>
            <w:hideMark/>
          </w:tcPr>
          <w:p w14:paraId="588C9238"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202 698,00</w:t>
            </w:r>
          </w:p>
        </w:tc>
        <w:tc>
          <w:tcPr>
            <w:tcW w:w="1276" w:type="dxa"/>
            <w:tcBorders>
              <w:top w:val="nil"/>
              <w:left w:val="nil"/>
              <w:bottom w:val="single" w:sz="4" w:space="0" w:color="auto"/>
              <w:right w:val="single" w:sz="4" w:space="0" w:color="auto"/>
            </w:tcBorders>
            <w:vAlign w:val="center"/>
            <w:hideMark/>
          </w:tcPr>
          <w:p w14:paraId="23D26089"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160 611,00</w:t>
            </w:r>
          </w:p>
        </w:tc>
        <w:tc>
          <w:tcPr>
            <w:tcW w:w="1275" w:type="dxa"/>
            <w:tcBorders>
              <w:top w:val="nil"/>
              <w:left w:val="nil"/>
              <w:bottom w:val="single" w:sz="4" w:space="0" w:color="auto"/>
              <w:right w:val="single" w:sz="4" w:space="0" w:color="auto"/>
            </w:tcBorders>
            <w:vAlign w:val="center"/>
            <w:hideMark/>
          </w:tcPr>
          <w:p w14:paraId="58CE3AB7"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125 568,00</w:t>
            </w:r>
          </w:p>
        </w:tc>
        <w:tc>
          <w:tcPr>
            <w:tcW w:w="1276" w:type="dxa"/>
            <w:tcBorders>
              <w:top w:val="nil"/>
              <w:left w:val="nil"/>
              <w:bottom w:val="single" w:sz="4" w:space="0" w:color="auto"/>
              <w:right w:val="single" w:sz="4" w:space="0" w:color="auto"/>
            </w:tcBorders>
            <w:vAlign w:val="center"/>
            <w:hideMark/>
          </w:tcPr>
          <w:p w14:paraId="7AAF5B3D"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123 840,00</w:t>
            </w:r>
          </w:p>
        </w:tc>
        <w:tc>
          <w:tcPr>
            <w:tcW w:w="1276" w:type="dxa"/>
            <w:tcBorders>
              <w:top w:val="nil"/>
              <w:left w:val="nil"/>
              <w:bottom w:val="single" w:sz="4" w:space="0" w:color="auto"/>
              <w:right w:val="single" w:sz="4" w:space="0" w:color="auto"/>
            </w:tcBorders>
            <w:vAlign w:val="center"/>
          </w:tcPr>
          <w:p w14:paraId="344C2E6B"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126 158,60</w:t>
            </w:r>
          </w:p>
        </w:tc>
      </w:tr>
      <w:tr w:rsidR="007A5205" w:rsidRPr="00B66512" w14:paraId="3F43CF82" w14:textId="77777777" w:rsidTr="00F848E9">
        <w:trPr>
          <w:trHeight w:val="555"/>
          <w:jc w:val="center"/>
        </w:trPr>
        <w:tc>
          <w:tcPr>
            <w:tcW w:w="2439" w:type="dxa"/>
            <w:tcBorders>
              <w:top w:val="nil"/>
              <w:left w:val="single" w:sz="4" w:space="0" w:color="auto"/>
              <w:bottom w:val="single" w:sz="4" w:space="0" w:color="auto"/>
              <w:right w:val="single" w:sz="4" w:space="0" w:color="auto"/>
            </w:tcBorders>
            <w:vAlign w:val="center"/>
            <w:hideMark/>
          </w:tcPr>
          <w:p w14:paraId="5CD31CFB" w14:textId="77777777" w:rsidR="007A5205" w:rsidRPr="00B66512" w:rsidRDefault="007A5205" w:rsidP="00F848E9">
            <w:pPr>
              <w:rPr>
                <w:rFonts w:ascii="Times New Roman" w:hAnsi="Times New Roman"/>
                <w:i/>
                <w:iCs/>
                <w:color w:val="000000"/>
              </w:rPr>
            </w:pPr>
            <w:r w:rsidRPr="00B66512">
              <w:rPr>
                <w:rFonts w:ascii="Times New Roman" w:hAnsi="Times New Roman"/>
                <w:i/>
                <w:iCs/>
                <w:color w:val="000000"/>
              </w:rPr>
              <w:t xml:space="preserve">1.1. </w:t>
            </w:r>
            <w:r w:rsidRPr="00B66512">
              <w:rPr>
                <w:rFonts w:ascii="Times New Roman" w:hAnsi="Times New Roman"/>
                <w:i/>
                <w:iCs/>
                <w:color w:val="000000"/>
                <w:sz w:val="20"/>
                <w:szCs w:val="20"/>
              </w:rPr>
              <w:t>Темп роста в действующих ценах, к соответствующему периоду предыдущего года, %</w:t>
            </w:r>
          </w:p>
        </w:tc>
        <w:tc>
          <w:tcPr>
            <w:tcW w:w="1369" w:type="dxa"/>
            <w:tcBorders>
              <w:top w:val="nil"/>
              <w:left w:val="nil"/>
              <w:bottom w:val="single" w:sz="4" w:space="0" w:color="auto"/>
              <w:right w:val="single" w:sz="4" w:space="0" w:color="auto"/>
            </w:tcBorders>
            <w:vAlign w:val="center"/>
            <w:hideMark/>
          </w:tcPr>
          <w:p w14:paraId="2A0BA0ED"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52,44</w:t>
            </w:r>
          </w:p>
        </w:tc>
        <w:tc>
          <w:tcPr>
            <w:tcW w:w="1276" w:type="dxa"/>
            <w:tcBorders>
              <w:top w:val="nil"/>
              <w:left w:val="nil"/>
              <w:bottom w:val="single" w:sz="4" w:space="0" w:color="auto"/>
              <w:right w:val="single" w:sz="4" w:space="0" w:color="auto"/>
            </w:tcBorders>
            <w:shd w:val="clear" w:color="000000" w:fill="D9D9D9"/>
            <w:vAlign w:val="center"/>
            <w:hideMark/>
          </w:tcPr>
          <w:p w14:paraId="1B29727A"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157,95</w:t>
            </w:r>
          </w:p>
        </w:tc>
        <w:tc>
          <w:tcPr>
            <w:tcW w:w="1276" w:type="dxa"/>
            <w:tcBorders>
              <w:top w:val="nil"/>
              <w:left w:val="nil"/>
              <w:bottom w:val="single" w:sz="4" w:space="0" w:color="auto"/>
              <w:right w:val="single" w:sz="4" w:space="0" w:color="auto"/>
            </w:tcBorders>
            <w:shd w:val="clear" w:color="000000" w:fill="D9D9D9"/>
            <w:vAlign w:val="center"/>
            <w:hideMark/>
          </w:tcPr>
          <w:p w14:paraId="201965A6"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79,24</w:t>
            </w:r>
          </w:p>
        </w:tc>
        <w:tc>
          <w:tcPr>
            <w:tcW w:w="1275" w:type="dxa"/>
            <w:tcBorders>
              <w:top w:val="nil"/>
              <w:left w:val="nil"/>
              <w:bottom w:val="single" w:sz="4" w:space="0" w:color="auto"/>
              <w:right w:val="single" w:sz="4" w:space="0" w:color="auto"/>
            </w:tcBorders>
            <w:shd w:val="clear" w:color="000000" w:fill="D9D9D9"/>
            <w:vAlign w:val="center"/>
            <w:hideMark/>
          </w:tcPr>
          <w:p w14:paraId="095D550B"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78,18</w:t>
            </w:r>
          </w:p>
        </w:tc>
        <w:tc>
          <w:tcPr>
            <w:tcW w:w="1276" w:type="dxa"/>
            <w:tcBorders>
              <w:top w:val="nil"/>
              <w:left w:val="nil"/>
              <w:bottom w:val="single" w:sz="4" w:space="0" w:color="auto"/>
              <w:right w:val="single" w:sz="4" w:space="0" w:color="auto"/>
            </w:tcBorders>
            <w:shd w:val="clear" w:color="000000" w:fill="D9D9D9"/>
            <w:vAlign w:val="center"/>
            <w:hideMark/>
          </w:tcPr>
          <w:p w14:paraId="5C944243"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98,62</w:t>
            </w:r>
          </w:p>
        </w:tc>
        <w:tc>
          <w:tcPr>
            <w:tcW w:w="1276" w:type="dxa"/>
            <w:tcBorders>
              <w:top w:val="nil"/>
              <w:left w:val="nil"/>
              <w:bottom w:val="single" w:sz="4" w:space="0" w:color="auto"/>
              <w:right w:val="single" w:sz="4" w:space="0" w:color="auto"/>
            </w:tcBorders>
            <w:shd w:val="clear" w:color="000000" w:fill="D9D9D9"/>
            <w:vAlign w:val="center"/>
          </w:tcPr>
          <w:p w14:paraId="3EBEF82E"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101,87</w:t>
            </w:r>
          </w:p>
        </w:tc>
      </w:tr>
      <w:tr w:rsidR="007A5205" w:rsidRPr="00B66512" w14:paraId="1672CCC7" w14:textId="77777777" w:rsidTr="00F848E9">
        <w:trPr>
          <w:trHeight w:val="300"/>
          <w:jc w:val="center"/>
        </w:trPr>
        <w:tc>
          <w:tcPr>
            <w:tcW w:w="2439" w:type="dxa"/>
            <w:tcBorders>
              <w:top w:val="nil"/>
              <w:left w:val="single" w:sz="4" w:space="0" w:color="auto"/>
              <w:bottom w:val="single" w:sz="4" w:space="0" w:color="auto"/>
              <w:right w:val="single" w:sz="4" w:space="0" w:color="auto"/>
            </w:tcBorders>
            <w:vAlign w:val="center"/>
            <w:hideMark/>
          </w:tcPr>
          <w:p w14:paraId="277C7D0E" w14:textId="77777777" w:rsidR="007A5205" w:rsidRPr="00B66512" w:rsidRDefault="007A5205" w:rsidP="00F848E9">
            <w:pPr>
              <w:rPr>
                <w:rFonts w:ascii="Times New Roman" w:hAnsi="Times New Roman"/>
                <w:i/>
                <w:iCs/>
                <w:color w:val="000000"/>
                <w:sz w:val="20"/>
                <w:szCs w:val="20"/>
              </w:rPr>
            </w:pPr>
            <w:r w:rsidRPr="00B66512">
              <w:rPr>
                <w:rFonts w:ascii="Times New Roman" w:hAnsi="Times New Roman"/>
                <w:i/>
                <w:iCs/>
                <w:color w:val="000000"/>
                <w:sz w:val="20"/>
                <w:szCs w:val="20"/>
              </w:rPr>
              <w:t>1.2. Индекс-дефлятор, %</w:t>
            </w:r>
          </w:p>
        </w:tc>
        <w:tc>
          <w:tcPr>
            <w:tcW w:w="1369" w:type="dxa"/>
            <w:tcBorders>
              <w:top w:val="nil"/>
              <w:left w:val="nil"/>
              <w:bottom w:val="single" w:sz="4" w:space="0" w:color="auto"/>
              <w:right w:val="single" w:sz="4" w:space="0" w:color="auto"/>
            </w:tcBorders>
            <w:vAlign w:val="center"/>
            <w:hideMark/>
          </w:tcPr>
          <w:p w14:paraId="6DD638DB"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117,40</w:t>
            </w:r>
          </w:p>
        </w:tc>
        <w:tc>
          <w:tcPr>
            <w:tcW w:w="1276" w:type="dxa"/>
            <w:tcBorders>
              <w:top w:val="nil"/>
              <w:left w:val="nil"/>
              <w:bottom w:val="single" w:sz="4" w:space="0" w:color="auto"/>
              <w:right w:val="single" w:sz="4" w:space="0" w:color="auto"/>
            </w:tcBorders>
            <w:vAlign w:val="center"/>
            <w:hideMark/>
          </w:tcPr>
          <w:p w14:paraId="4E50214B" w14:textId="77777777" w:rsidR="007A5205" w:rsidRPr="00B66512" w:rsidRDefault="007A5205" w:rsidP="00F848E9">
            <w:pPr>
              <w:jc w:val="center"/>
              <w:rPr>
                <w:rFonts w:ascii="Times New Roman" w:hAnsi="Times New Roman"/>
                <w:i/>
                <w:iCs/>
              </w:rPr>
            </w:pPr>
            <w:r w:rsidRPr="00B66512">
              <w:rPr>
                <w:rFonts w:ascii="Times New Roman" w:hAnsi="Times New Roman"/>
                <w:i/>
                <w:iCs/>
              </w:rPr>
              <w:t>111,00</w:t>
            </w:r>
          </w:p>
        </w:tc>
        <w:tc>
          <w:tcPr>
            <w:tcW w:w="1276" w:type="dxa"/>
            <w:tcBorders>
              <w:top w:val="nil"/>
              <w:left w:val="nil"/>
              <w:bottom w:val="single" w:sz="4" w:space="0" w:color="auto"/>
              <w:right w:val="single" w:sz="4" w:space="0" w:color="auto"/>
            </w:tcBorders>
            <w:vAlign w:val="center"/>
            <w:hideMark/>
          </w:tcPr>
          <w:p w14:paraId="731A1E46" w14:textId="77777777" w:rsidR="007A5205" w:rsidRPr="00B66512" w:rsidRDefault="007A5205" w:rsidP="00F848E9">
            <w:pPr>
              <w:jc w:val="center"/>
              <w:rPr>
                <w:rFonts w:ascii="Times New Roman" w:hAnsi="Times New Roman"/>
                <w:i/>
                <w:iCs/>
              </w:rPr>
            </w:pPr>
            <w:r w:rsidRPr="00B66512">
              <w:rPr>
                <w:rFonts w:ascii="Times New Roman" w:hAnsi="Times New Roman"/>
                <w:i/>
                <w:iCs/>
              </w:rPr>
              <w:t>109,5</w:t>
            </w:r>
          </w:p>
        </w:tc>
        <w:tc>
          <w:tcPr>
            <w:tcW w:w="1275" w:type="dxa"/>
            <w:tcBorders>
              <w:top w:val="nil"/>
              <w:left w:val="nil"/>
              <w:bottom w:val="single" w:sz="4" w:space="0" w:color="auto"/>
              <w:right w:val="single" w:sz="4" w:space="0" w:color="auto"/>
            </w:tcBorders>
            <w:vAlign w:val="center"/>
            <w:hideMark/>
          </w:tcPr>
          <w:p w14:paraId="4C085013" w14:textId="77777777" w:rsidR="007A5205" w:rsidRPr="00B66512" w:rsidRDefault="007A5205" w:rsidP="00F848E9">
            <w:pPr>
              <w:jc w:val="center"/>
              <w:rPr>
                <w:rFonts w:ascii="Times New Roman" w:hAnsi="Times New Roman"/>
                <w:i/>
                <w:iCs/>
              </w:rPr>
            </w:pPr>
            <w:r w:rsidRPr="00B66512">
              <w:rPr>
                <w:rFonts w:ascii="Times New Roman" w:hAnsi="Times New Roman"/>
                <w:i/>
                <w:iCs/>
              </w:rPr>
              <w:t>107,5</w:t>
            </w:r>
          </w:p>
        </w:tc>
        <w:tc>
          <w:tcPr>
            <w:tcW w:w="1276" w:type="dxa"/>
            <w:tcBorders>
              <w:top w:val="nil"/>
              <w:left w:val="nil"/>
              <w:bottom w:val="single" w:sz="4" w:space="0" w:color="auto"/>
              <w:right w:val="single" w:sz="4" w:space="0" w:color="auto"/>
            </w:tcBorders>
            <w:vAlign w:val="center"/>
            <w:hideMark/>
          </w:tcPr>
          <w:p w14:paraId="75F4D16D" w14:textId="77777777" w:rsidR="007A5205" w:rsidRPr="00B66512" w:rsidRDefault="007A5205" w:rsidP="00F848E9">
            <w:pPr>
              <w:jc w:val="center"/>
              <w:rPr>
                <w:rFonts w:ascii="Times New Roman" w:hAnsi="Times New Roman"/>
                <w:i/>
                <w:iCs/>
              </w:rPr>
            </w:pPr>
            <w:r w:rsidRPr="00B66512">
              <w:rPr>
                <w:rFonts w:ascii="Times New Roman" w:hAnsi="Times New Roman"/>
                <w:i/>
                <w:iCs/>
              </w:rPr>
              <w:t>106,4</w:t>
            </w:r>
          </w:p>
        </w:tc>
        <w:tc>
          <w:tcPr>
            <w:tcW w:w="1276" w:type="dxa"/>
            <w:tcBorders>
              <w:top w:val="nil"/>
              <w:left w:val="nil"/>
              <w:bottom w:val="single" w:sz="4" w:space="0" w:color="auto"/>
              <w:right w:val="single" w:sz="4" w:space="0" w:color="auto"/>
            </w:tcBorders>
            <w:vAlign w:val="center"/>
          </w:tcPr>
          <w:p w14:paraId="4C132B59" w14:textId="77777777" w:rsidR="007A5205" w:rsidRPr="00B66512" w:rsidRDefault="007A5205" w:rsidP="00F848E9">
            <w:pPr>
              <w:jc w:val="center"/>
              <w:rPr>
                <w:rFonts w:ascii="Times New Roman" w:hAnsi="Times New Roman"/>
                <w:i/>
                <w:iCs/>
              </w:rPr>
            </w:pPr>
            <w:r w:rsidRPr="00B66512">
              <w:rPr>
                <w:rFonts w:ascii="Times New Roman" w:hAnsi="Times New Roman"/>
                <w:i/>
                <w:iCs/>
              </w:rPr>
              <w:t>104,5</w:t>
            </w:r>
          </w:p>
        </w:tc>
      </w:tr>
      <w:tr w:rsidR="007A5205" w:rsidRPr="00B66512" w14:paraId="16484980" w14:textId="77777777" w:rsidTr="00F848E9">
        <w:trPr>
          <w:trHeight w:val="510"/>
          <w:jc w:val="center"/>
        </w:trPr>
        <w:tc>
          <w:tcPr>
            <w:tcW w:w="2439" w:type="dxa"/>
            <w:tcBorders>
              <w:top w:val="nil"/>
              <w:left w:val="single" w:sz="4" w:space="0" w:color="auto"/>
              <w:bottom w:val="single" w:sz="4" w:space="0" w:color="auto"/>
              <w:right w:val="single" w:sz="4" w:space="0" w:color="auto"/>
            </w:tcBorders>
            <w:vAlign w:val="center"/>
            <w:hideMark/>
          </w:tcPr>
          <w:p w14:paraId="4D26A0CB" w14:textId="77777777" w:rsidR="007A5205" w:rsidRPr="00B66512" w:rsidRDefault="007A5205" w:rsidP="00F848E9">
            <w:pPr>
              <w:rPr>
                <w:rFonts w:ascii="Times New Roman" w:hAnsi="Times New Roman"/>
                <w:i/>
                <w:iCs/>
                <w:color w:val="000000"/>
                <w:sz w:val="20"/>
                <w:szCs w:val="20"/>
              </w:rPr>
            </w:pPr>
            <w:r w:rsidRPr="00B66512">
              <w:rPr>
                <w:rFonts w:ascii="Times New Roman" w:hAnsi="Times New Roman"/>
                <w:i/>
                <w:iCs/>
                <w:color w:val="000000"/>
                <w:sz w:val="20"/>
                <w:szCs w:val="20"/>
              </w:rPr>
              <w:t>1.3. Темп роста в сопоставимых ценах, к соответствующему периоду предыдущего года, %</w:t>
            </w:r>
          </w:p>
        </w:tc>
        <w:tc>
          <w:tcPr>
            <w:tcW w:w="1369" w:type="dxa"/>
            <w:tcBorders>
              <w:top w:val="nil"/>
              <w:left w:val="nil"/>
              <w:bottom w:val="single" w:sz="4" w:space="0" w:color="auto"/>
              <w:right w:val="single" w:sz="4" w:space="0" w:color="auto"/>
            </w:tcBorders>
            <w:vAlign w:val="center"/>
            <w:hideMark/>
          </w:tcPr>
          <w:p w14:paraId="5DF375EB"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44,67</w:t>
            </w:r>
          </w:p>
        </w:tc>
        <w:tc>
          <w:tcPr>
            <w:tcW w:w="1276" w:type="dxa"/>
            <w:tcBorders>
              <w:top w:val="nil"/>
              <w:left w:val="nil"/>
              <w:bottom w:val="single" w:sz="4" w:space="0" w:color="auto"/>
              <w:right w:val="single" w:sz="4" w:space="0" w:color="auto"/>
            </w:tcBorders>
            <w:shd w:val="clear" w:color="000000" w:fill="D9D9D9"/>
            <w:vAlign w:val="center"/>
            <w:hideMark/>
          </w:tcPr>
          <w:p w14:paraId="5FFFA0F8"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142,30</w:t>
            </w:r>
          </w:p>
        </w:tc>
        <w:tc>
          <w:tcPr>
            <w:tcW w:w="1276" w:type="dxa"/>
            <w:tcBorders>
              <w:top w:val="nil"/>
              <w:left w:val="nil"/>
              <w:bottom w:val="single" w:sz="4" w:space="0" w:color="auto"/>
              <w:right w:val="single" w:sz="4" w:space="0" w:color="auto"/>
            </w:tcBorders>
            <w:shd w:val="clear" w:color="000000" w:fill="D9D9D9"/>
            <w:vAlign w:val="center"/>
            <w:hideMark/>
          </w:tcPr>
          <w:p w14:paraId="6CCF39CF"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72,40</w:t>
            </w:r>
          </w:p>
        </w:tc>
        <w:tc>
          <w:tcPr>
            <w:tcW w:w="1275" w:type="dxa"/>
            <w:tcBorders>
              <w:top w:val="nil"/>
              <w:left w:val="nil"/>
              <w:bottom w:val="single" w:sz="4" w:space="0" w:color="auto"/>
              <w:right w:val="single" w:sz="4" w:space="0" w:color="auto"/>
            </w:tcBorders>
            <w:shd w:val="clear" w:color="000000" w:fill="D9D9D9"/>
            <w:vAlign w:val="center"/>
            <w:hideMark/>
          </w:tcPr>
          <w:p w14:paraId="64E9B3BB"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72,73</w:t>
            </w:r>
          </w:p>
        </w:tc>
        <w:tc>
          <w:tcPr>
            <w:tcW w:w="1276" w:type="dxa"/>
            <w:tcBorders>
              <w:top w:val="nil"/>
              <w:left w:val="nil"/>
              <w:bottom w:val="single" w:sz="4" w:space="0" w:color="auto"/>
              <w:right w:val="single" w:sz="4" w:space="0" w:color="auto"/>
            </w:tcBorders>
            <w:shd w:val="clear" w:color="000000" w:fill="D9D9D9"/>
            <w:vAlign w:val="center"/>
            <w:hideMark/>
          </w:tcPr>
          <w:p w14:paraId="74A0FEBF"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92,69</w:t>
            </w:r>
          </w:p>
        </w:tc>
        <w:tc>
          <w:tcPr>
            <w:tcW w:w="1276" w:type="dxa"/>
            <w:tcBorders>
              <w:top w:val="nil"/>
              <w:left w:val="nil"/>
              <w:bottom w:val="single" w:sz="4" w:space="0" w:color="auto"/>
              <w:right w:val="single" w:sz="4" w:space="0" w:color="auto"/>
            </w:tcBorders>
            <w:shd w:val="clear" w:color="000000" w:fill="D9D9D9"/>
            <w:vAlign w:val="center"/>
          </w:tcPr>
          <w:p w14:paraId="5F59E237" w14:textId="77777777" w:rsidR="007A5205" w:rsidRPr="00B66512" w:rsidRDefault="007A5205" w:rsidP="00F848E9">
            <w:pPr>
              <w:jc w:val="center"/>
              <w:rPr>
                <w:rFonts w:ascii="Times New Roman" w:hAnsi="Times New Roman"/>
                <w:i/>
                <w:iCs/>
                <w:color w:val="000000"/>
              </w:rPr>
            </w:pPr>
            <w:r w:rsidRPr="00B66512">
              <w:rPr>
                <w:rFonts w:ascii="Times New Roman" w:hAnsi="Times New Roman"/>
                <w:i/>
                <w:iCs/>
                <w:color w:val="000000"/>
              </w:rPr>
              <w:t>97,48</w:t>
            </w:r>
          </w:p>
        </w:tc>
      </w:tr>
      <w:tr w:rsidR="007A5205" w:rsidRPr="00B66512" w14:paraId="7694F441" w14:textId="77777777" w:rsidTr="00F848E9">
        <w:trPr>
          <w:trHeight w:val="600"/>
          <w:jc w:val="center"/>
        </w:trPr>
        <w:tc>
          <w:tcPr>
            <w:tcW w:w="2439" w:type="dxa"/>
            <w:tcBorders>
              <w:top w:val="nil"/>
              <w:left w:val="single" w:sz="4" w:space="0" w:color="auto"/>
              <w:bottom w:val="single" w:sz="4" w:space="0" w:color="auto"/>
              <w:right w:val="single" w:sz="4" w:space="0" w:color="auto"/>
            </w:tcBorders>
            <w:vAlign w:val="center"/>
            <w:hideMark/>
          </w:tcPr>
          <w:p w14:paraId="6E386E17" w14:textId="77777777" w:rsidR="007A5205" w:rsidRPr="00B66512" w:rsidRDefault="007A5205" w:rsidP="00F848E9">
            <w:pPr>
              <w:rPr>
                <w:rFonts w:ascii="Times New Roman" w:hAnsi="Times New Roman"/>
                <w:color w:val="000000"/>
              </w:rPr>
            </w:pPr>
            <w:r w:rsidRPr="00B66512">
              <w:rPr>
                <w:rFonts w:ascii="Times New Roman" w:hAnsi="Times New Roman"/>
                <w:color w:val="000000"/>
              </w:rPr>
              <w:t>2. Инвестиции в основной капитал за счет бюджетных средств, тыс. руб.</w:t>
            </w:r>
          </w:p>
        </w:tc>
        <w:tc>
          <w:tcPr>
            <w:tcW w:w="1369" w:type="dxa"/>
            <w:tcBorders>
              <w:top w:val="nil"/>
              <w:left w:val="nil"/>
              <w:bottom w:val="single" w:sz="4" w:space="0" w:color="auto"/>
              <w:right w:val="single" w:sz="4" w:space="0" w:color="auto"/>
            </w:tcBorders>
            <w:vAlign w:val="center"/>
            <w:hideMark/>
          </w:tcPr>
          <w:p w14:paraId="05E46A36"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53 592,00</w:t>
            </w:r>
          </w:p>
        </w:tc>
        <w:tc>
          <w:tcPr>
            <w:tcW w:w="1276" w:type="dxa"/>
            <w:tcBorders>
              <w:top w:val="nil"/>
              <w:left w:val="nil"/>
              <w:bottom w:val="single" w:sz="4" w:space="0" w:color="auto"/>
              <w:right w:val="single" w:sz="4" w:space="0" w:color="auto"/>
            </w:tcBorders>
            <w:vAlign w:val="center"/>
            <w:hideMark/>
          </w:tcPr>
          <w:p w14:paraId="26CB44DA"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168 029,00</w:t>
            </w:r>
          </w:p>
        </w:tc>
        <w:tc>
          <w:tcPr>
            <w:tcW w:w="1276" w:type="dxa"/>
            <w:tcBorders>
              <w:top w:val="nil"/>
              <w:left w:val="nil"/>
              <w:bottom w:val="single" w:sz="4" w:space="0" w:color="auto"/>
              <w:right w:val="single" w:sz="4" w:space="0" w:color="auto"/>
            </w:tcBorders>
            <w:vAlign w:val="center"/>
            <w:hideMark/>
          </w:tcPr>
          <w:p w14:paraId="5F1D319D"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111 861,00</w:t>
            </w:r>
          </w:p>
        </w:tc>
        <w:tc>
          <w:tcPr>
            <w:tcW w:w="1275" w:type="dxa"/>
            <w:tcBorders>
              <w:top w:val="nil"/>
              <w:left w:val="nil"/>
              <w:bottom w:val="single" w:sz="4" w:space="0" w:color="auto"/>
              <w:right w:val="single" w:sz="4" w:space="0" w:color="auto"/>
            </w:tcBorders>
            <w:vAlign w:val="center"/>
            <w:hideMark/>
          </w:tcPr>
          <w:p w14:paraId="7E054CBE"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74 308,00</w:t>
            </w:r>
          </w:p>
        </w:tc>
        <w:tc>
          <w:tcPr>
            <w:tcW w:w="1276" w:type="dxa"/>
            <w:tcBorders>
              <w:top w:val="nil"/>
              <w:left w:val="nil"/>
              <w:bottom w:val="single" w:sz="4" w:space="0" w:color="auto"/>
              <w:right w:val="single" w:sz="4" w:space="0" w:color="auto"/>
            </w:tcBorders>
            <w:vAlign w:val="center"/>
            <w:hideMark/>
          </w:tcPr>
          <w:p w14:paraId="2C5E06C4"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70 130,00</w:t>
            </w:r>
          </w:p>
        </w:tc>
        <w:tc>
          <w:tcPr>
            <w:tcW w:w="1276" w:type="dxa"/>
            <w:tcBorders>
              <w:top w:val="nil"/>
              <w:left w:val="nil"/>
              <w:bottom w:val="single" w:sz="4" w:space="0" w:color="auto"/>
              <w:right w:val="single" w:sz="4" w:space="0" w:color="auto"/>
            </w:tcBorders>
            <w:vAlign w:val="center"/>
          </w:tcPr>
          <w:p w14:paraId="2E365CDA"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69 301,97</w:t>
            </w:r>
          </w:p>
        </w:tc>
      </w:tr>
      <w:tr w:rsidR="007A5205" w:rsidRPr="00B66512" w14:paraId="22E64C8C" w14:textId="77777777" w:rsidTr="00F848E9">
        <w:trPr>
          <w:trHeight w:val="600"/>
          <w:jc w:val="center"/>
        </w:trPr>
        <w:tc>
          <w:tcPr>
            <w:tcW w:w="2439" w:type="dxa"/>
            <w:tcBorders>
              <w:top w:val="nil"/>
              <w:left w:val="single" w:sz="4" w:space="0" w:color="auto"/>
              <w:bottom w:val="single" w:sz="4" w:space="0" w:color="auto"/>
              <w:right w:val="single" w:sz="4" w:space="0" w:color="auto"/>
            </w:tcBorders>
            <w:vAlign w:val="center"/>
            <w:hideMark/>
          </w:tcPr>
          <w:p w14:paraId="4B6B5261" w14:textId="77777777" w:rsidR="007A5205" w:rsidRPr="00B66512" w:rsidRDefault="007A5205" w:rsidP="00F848E9">
            <w:pPr>
              <w:rPr>
                <w:rFonts w:ascii="Times New Roman" w:hAnsi="Times New Roman"/>
                <w:color w:val="000000"/>
              </w:rPr>
            </w:pPr>
            <w:r w:rsidRPr="00B66512">
              <w:rPr>
                <w:rFonts w:ascii="Times New Roman" w:hAnsi="Times New Roman"/>
                <w:color w:val="000000"/>
              </w:rPr>
              <w:t>3. Объем инвестиций без бюджетных средств, тыс. руб. (стр. 1 – стр. 2)</w:t>
            </w:r>
          </w:p>
        </w:tc>
        <w:tc>
          <w:tcPr>
            <w:tcW w:w="1369" w:type="dxa"/>
            <w:tcBorders>
              <w:top w:val="nil"/>
              <w:left w:val="nil"/>
              <w:bottom w:val="single" w:sz="4" w:space="0" w:color="auto"/>
              <w:right w:val="single" w:sz="4" w:space="0" w:color="auto"/>
            </w:tcBorders>
            <w:shd w:val="clear" w:color="000000" w:fill="D9D9D9"/>
            <w:vAlign w:val="center"/>
            <w:hideMark/>
          </w:tcPr>
          <w:p w14:paraId="6F443B50"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74 739,00</w:t>
            </w:r>
          </w:p>
        </w:tc>
        <w:tc>
          <w:tcPr>
            <w:tcW w:w="1276" w:type="dxa"/>
            <w:tcBorders>
              <w:top w:val="nil"/>
              <w:left w:val="nil"/>
              <w:bottom w:val="single" w:sz="4" w:space="0" w:color="auto"/>
              <w:right w:val="single" w:sz="4" w:space="0" w:color="auto"/>
            </w:tcBorders>
            <w:shd w:val="clear" w:color="000000" w:fill="D9D9D9"/>
            <w:vAlign w:val="center"/>
            <w:hideMark/>
          </w:tcPr>
          <w:p w14:paraId="27A4515E"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34 669,00</w:t>
            </w:r>
          </w:p>
        </w:tc>
        <w:tc>
          <w:tcPr>
            <w:tcW w:w="1276" w:type="dxa"/>
            <w:tcBorders>
              <w:top w:val="nil"/>
              <w:left w:val="nil"/>
              <w:bottom w:val="single" w:sz="4" w:space="0" w:color="auto"/>
              <w:right w:val="single" w:sz="4" w:space="0" w:color="auto"/>
            </w:tcBorders>
            <w:shd w:val="clear" w:color="000000" w:fill="D9D9D9"/>
            <w:vAlign w:val="center"/>
            <w:hideMark/>
          </w:tcPr>
          <w:p w14:paraId="65D24CCD"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48 750,00</w:t>
            </w:r>
          </w:p>
        </w:tc>
        <w:tc>
          <w:tcPr>
            <w:tcW w:w="1275" w:type="dxa"/>
            <w:tcBorders>
              <w:top w:val="nil"/>
              <w:left w:val="nil"/>
              <w:bottom w:val="single" w:sz="4" w:space="0" w:color="auto"/>
              <w:right w:val="single" w:sz="4" w:space="0" w:color="auto"/>
            </w:tcBorders>
            <w:shd w:val="clear" w:color="000000" w:fill="D9D9D9"/>
            <w:vAlign w:val="center"/>
            <w:hideMark/>
          </w:tcPr>
          <w:p w14:paraId="4FD94384"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51 260,00</w:t>
            </w:r>
          </w:p>
        </w:tc>
        <w:tc>
          <w:tcPr>
            <w:tcW w:w="1276" w:type="dxa"/>
            <w:tcBorders>
              <w:top w:val="nil"/>
              <w:left w:val="nil"/>
              <w:bottom w:val="single" w:sz="4" w:space="0" w:color="auto"/>
              <w:right w:val="single" w:sz="4" w:space="0" w:color="auto"/>
            </w:tcBorders>
            <w:shd w:val="clear" w:color="000000" w:fill="D9D9D9"/>
            <w:vAlign w:val="center"/>
            <w:hideMark/>
          </w:tcPr>
          <w:p w14:paraId="5D000022"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53 710,00</w:t>
            </w:r>
          </w:p>
        </w:tc>
        <w:tc>
          <w:tcPr>
            <w:tcW w:w="1276" w:type="dxa"/>
            <w:tcBorders>
              <w:top w:val="nil"/>
              <w:left w:val="nil"/>
              <w:bottom w:val="single" w:sz="4" w:space="0" w:color="auto"/>
              <w:right w:val="single" w:sz="4" w:space="0" w:color="auto"/>
            </w:tcBorders>
            <w:shd w:val="clear" w:color="000000" w:fill="D9D9D9"/>
            <w:vAlign w:val="center"/>
          </w:tcPr>
          <w:p w14:paraId="641208BE"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56 856,03</w:t>
            </w:r>
          </w:p>
        </w:tc>
      </w:tr>
      <w:tr w:rsidR="007A5205" w:rsidRPr="00B66512" w14:paraId="1A5F5C9C" w14:textId="77777777" w:rsidTr="00F848E9">
        <w:trPr>
          <w:trHeight w:val="273"/>
          <w:jc w:val="center"/>
        </w:trPr>
        <w:tc>
          <w:tcPr>
            <w:tcW w:w="2439" w:type="dxa"/>
            <w:tcBorders>
              <w:top w:val="nil"/>
              <w:left w:val="single" w:sz="4" w:space="0" w:color="auto"/>
              <w:bottom w:val="single" w:sz="4" w:space="0" w:color="auto"/>
              <w:right w:val="single" w:sz="4" w:space="0" w:color="auto"/>
            </w:tcBorders>
            <w:vAlign w:val="center"/>
            <w:hideMark/>
          </w:tcPr>
          <w:p w14:paraId="7813636F" w14:textId="77777777" w:rsidR="007A5205" w:rsidRPr="00B66512" w:rsidRDefault="007A5205" w:rsidP="00F848E9">
            <w:pPr>
              <w:rPr>
                <w:rFonts w:ascii="Times New Roman" w:hAnsi="Times New Roman"/>
                <w:color w:val="000000"/>
              </w:rPr>
            </w:pPr>
            <w:r w:rsidRPr="00B66512">
              <w:rPr>
                <w:rFonts w:ascii="Times New Roman" w:hAnsi="Times New Roman"/>
                <w:color w:val="000000"/>
              </w:rPr>
              <w:t xml:space="preserve">4. </w:t>
            </w:r>
            <w:r w:rsidRPr="00B66512">
              <w:rPr>
                <w:rFonts w:ascii="Times New Roman" w:hAnsi="Times New Roman"/>
                <w:b/>
                <w:bCs/>
                <w:color w:val="C00000"/>
              </w:rPr>
              <w:t xml:space="preserve">Среднегодовая </w:t>
            </w:r>
            <w:r w:rsidRPr="00B66512">
              <w:rPr>
                <w:rFonts w:ascii="Times New Roman" w:hAnsi="Times New Roman"/>
                <w:color w:val="000000"/>
              </w:rPr>
              <w:t>численность населения муниципального, городского округа (муниципального района), чел.</w:t>
            </w:r>
          </w:p>
        </w:tc>
        <w:tc>
          <w:tcPr>
            <w:tcW w:w="1369" w:type="dxa"/>
            <w:tcBorders>
              <w:top w:val="nil"/>
              <w:left w:val="nil"/>
              <w:bottom w:val="single" w:sz="4" w:space="0" w:color="auto"/>
              <w:right w:val="single" w:sz="4" w:space="0" w:color="auto"/>
            </w:tcBorders>
            <w:vAlign w:val="center"/>
            <w:hideMark/>
          </w:tcPr>
          <w:p w14:paraId="1ADA8B98"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13 463</w:t>
            </w:r>
          </w:p>
        </w:tc>
        <w:tc>
          <w:tcPr>
            <w:tcW w:w="1276" w:type="dxa"/>
            <w:tcBorders>
              <w:top w:val="nil"/>
              <w:left w:val="nil"/>
              <w:bottom w:val="single" w:sz="4" w:space="0" w:color="auto"/>
              <w:right w:val="single" w:sz="4" w:space="0" w:color="auto"/>
            </w:tcBorders>
            <w:vAlign w:val="center"/>
            <w:hideMark/>
          </w:tcPr>
          <w:p w14:paraId="4D29F9D8"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13 262</w:t>
            </w:r>
          </w:p>
        </w:tc>
        <w:tc>
          <w:tcPr>
            <w:tcW w:w="1276" w:type="dxa"/>
            <w:tcBorders>
              <w:top w:val="nil"/>
              <w:left w:val="nil"/>
              <w:bottom w:val="single" w:sz="4" w:space="0" w:color="auto"/>
              <w:right w:val="single" w:sz="4" w:space="0" w:color="auto"/>
            </w:tcBorders>
            <w:vAlign w:val="center"/>
            <w:hideMark/>
          </w:tcPr>
          <w:p w14:paraId="5E62B313"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13 035</w:t>
            </w:r>
          </w:p>
        </w:tc>
        <w:tc>
          <w:tcPr>
            <w:tcW w:w="1275" w:type="dxa"/>
            <w:tcBorders>
              <w:top w:val="nil"/>
              <w:left w:val="nil"/>
              <w:bottom w:val="single" w:sz="4" w:space="0" w:color="auto"/>
              <w:right w:val="single" w:sz="4" w:space="0" w:color="auto"/>
            </w:tcBorders>
            <w:vAlign w:val="center"/>
            <w:hideMark/>
          </w:tcPr>
          <w:p w14:paraId="0B7CD76B"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12 791</w:t>
            </w:r>
          </w:p>
        </w:tc>
        <w:tc>
          <w:tcPr>
            <w:tcW w:w="1276" w:type="dxa"/>
            <w:tcBorders>
              <w:top w:val="nil"/>
              <w:left w:val="nil"/>
              <w:bottom w:val="single" w:sz="4" w:space="0" w:color="auto"/>
              <w:right w:val="single" w:sz="4" w:space="0" w:color="auto"/>
            </w:tcBorders>
            <w:vAlign w:val="center"/>
            <w:hideMark/>
          </w:tcPr>
          <w:p w14:paraId="4F60CC7B"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12 548</w:t>
            </w:r>
          </w:p>
        </w:tc>
        <w:tc>
          <w:tcPr>
            <w:tcW w:w="1276" w:type="dxa"/>
            <w:tcBorders>
              <w:top w:val="nil"/>
              <w:left w:val="nil"/>
              <w:bottom w:val="single" w:sz="4" w:space="0" w:color="auto"/>
              <w:right w:val="single" w:sz="4" w:space="0" w:color="auto"/>
            </w:tcBorders>
            <w:vAlign w:val="center"/>
          </w:tcPr>
          <w:p w14:paraId="4F9175C1" w14:textId="77777777" w:rsidR="007A5205" w:rsidRPr="00B66512" w:rsidRDefault="007A5205" w:rsidP="00F848E9">
            <w:pPr>
              <w:jc w:val="center"/>
              <w:rPr>
                <w:rFonts w:ascii="Times New Roman" w:hAnsi="Times New Roman"/>
                <w:color w:val="000000"/>
              </w:rPr>
            </w:pPr>
            <w:r w:rsidRPr="00B66512">
              <w:rPr>
                <w:rFonts w:ascii="Times New Roman" w:hAnsi="Times New Roman"/>
                <w:color w:val="000000"/>
              </w:rPr>
              <w:t>12 315</w:t>
            </w:r>
          </w:p>
        </w:tc>
      </w:tr>
      <w:tr w:rsidR="007A5205" w:rsidRPr="00B66512" w14:paraId="1F87AF74" w14:textId="77777777" w:rsidTr="00F848E9">
        <w:trPr>
          <w:trHeight w:val="1110"/>
          <w:jc w:val="center"/>
        </w:trPr>
        <w:tc>
          <w:tcPr>
            <w:tcW w:w="2439" w:type="dxa"/>
            <w:tcBorders>
              <w:top w:val="nil"/>
              <w:left w:val="single" w:sz="4" w:space="0" w:color="auto"/>
              <w:bottom w:val="single" w:sz="4" w:space="0" w:color="auto"/>
              <w:right w:val="single" w:sz="4" w:space="0" w:color="auto"/>
            </w:tcBorders>
            <w:vAlign w:val="center"/>
            <w:hideMark/>
          </w:tcPr>
          <w:p w14:paraId="57708AF0" w14:textId="77777777" w:rsidR="007A5205" w:rsidRPr="00B66512" w:rsidRDefault="007A5205" w:rsidP="00F848E9">
            <w:pPr>
              <w:rPr>
                <w:rFonts w:ascii="Times New Roman" w:hAnsi="Times New Roman"/>
                <w:b/>
                <w:bCs/>
                <w:color w:val="000000"/>
              </w:rPr>
            </w:pPr>
            <w:r w:rsidRPr="00B66512">
              <w:rPr>
                <w:rFonts w:ascii="Times New Roman" w:hAnsi="Times New Roman"/>
                <w:b/>
                <w:bCs/>
                <w:color w:val="000000"/>
              </w:rPr>
              <w:t>5. Объем инвестиций в основной капитал (за исключением бюджетных средств) в расчете на 1 человека населения, руб. (стр. 3*1000/стр. 4)</w:t>
            </w:r>
          </w:p>
        </w:tc>
        <w:tc>
          <w:tcPr>
            <w:tcW w:w="1369" w:type="dxa"/>
            <w:tcBorders>
              <w:top w:val="nil"/>
              <w:left w:val="nil"/>
              <w:bottom w:val="single" w:sz="4" w:space="0" w:color="auto"/>
              <w:right w:val="single" w:sz="4" w:space="0" w:color="auto"/>
            </w:tcBorders>
            <w:shd w:val="clear" w:color="000000" w:fill="D9D9D9"/>
            <w:vAlign w:val="center"/>
            <w:hideMark/>
          </w:tcPr>
          <w:p w14:paraId="138EF0DB" w14:textId="77777777" w:rsidR="007A5205" w:rsidRPr="00B66512" w:rsidRDefault="007A5205" w:rsidP="00F848E9">
            <w:pPr>
              <w:jc w:val="center"/>
              <w:rPr>
                <w:rFonts w:ascii="Times New Roman" w:hAnsi="Times New Roman"/>
                <w:b/>
                <w:bCs/>
                <w:color w:val="000000"/>
              </w:rPr>
            </w:pPr>
            <w:r w:rsidRPr="00B66512">
              <w:rPr>
                <w:rFonts w:ascii="Times New Roman" w:hAnsi="Times New Roman"/>
                <w:b/>
                <w:bCs/>
                <w:color w:val="000000"/>
              </w:rPr>
              <w:t>5 551,44</w:t>
            </w:r>
          </w:p>
        </w:tc>
        <w:tc>
          <w:tcPr>
            <w:tcW w:w="1276" w:type="dxa"/>
            <w:tcBorders>
              <w:top w:val="nil"/>
              <w:left w:val="nil"/>
              <w:bottom w:val="single" w:sz="4" w:space="0" w:color="auto"/>
              <w:right w:val="single" w:sz="4" w:space="0" w:color="auto"/>
            </w:tcBorders>
            <w:shd w:val="clear" w:color="000000" w:fill="D9D9D9"/>
            <w:vAlign w:val="center"/>
            <w:hideMark/>
          </w:tcPr>
          <w:p w14:paraId="6DBAC8F6" w14:textId="77777777" w:rsidR="007A5205" w:rsidRPr="00B66512" w:rsidRDefault="007A5205" w:rsidP="00F848E9">
            <w:pPr>
              <w:jc w:val="center"/>
              <w:rPr>
                <w:rFonts w:ascii="Times New Roman" w:hAnsi="Times New Roman"/>
                <w:b/>
                <w:bCs/>
                <w:color w:val="000000"/>
              </w:rPr>
            </w:pPr>
            <w:r w:rsidRPr="00B66512">
              <w:rPr>
                <w:rFonts w:ascii="Times New Roman" w:hAnsi="Times New Roman"/>
                <w:b/>
                <w:bCs/>
                <w:color w:val="000000"/>
              </w:rPr>
              <w:t>2 614,16</w:t>
            </w:r>
          </w:p>
        </w:tc>
        <w:tc>
          <w:tcPr>
            <w:tcW w:w="1276" w:type="dxa"/>
            <w:tcBorders>
              <w:top w:val="nil"/>
              <w:left w:val="nil"/>
              <w:bottom w:val="single" w:sz="4" w:space="0" w:color="auto"/>
              <w:right w:val="single" w:sz="4" w:space="0" w:color="auto"/>
            </w:tcBorders>
            <w:shd w:val="clear" w:color="000000" w:fill="D9D9D9"/>
            <w:vAlign w:val="center"/>
            <w:hideMark/>
          </w:tcPr>
          <w:p w14:paraId="31BC898B" w14:textId="77777777" w:rsidR="007A5205" w:rsidRPr="00B66512" w:rsidRDefault="007A5205" w:rsidP="00F848E9">
            <w:pPr>
              <w:jc w:val="center"/>
              <w:rPr>
                <w:rFonts w:ascii="Times New Roman" w:hAnsi="Times New Roman"/>
                <w:b/>
                <w:bCs/>
                <w:color w:val="000000"/>
              </w:rPr>
            </w:pPr>
            <w:r w:rsidRPr="00B66512">
              <w:rPr>
                <w:rFonts w:ascii="Times New Roman" w:hAnsi="Times New Roman"/>
                <w:b/>
                <w:bCs/>
                <w:color w:val="000000"/>
              </w:rPr>
              <w:t>3 739,93</w:t>
            </w:r>
          </w:p>
        </w:tc>
        <w:tc>
          <w:tcPr>
            <w:tcW w:w="1275" w:type="dxa"/>
            <w:tcBorders>
              <w:top w:val="nil"/>
              <w:left w:val="nil"/>
              <w:bottom w:val="single" w:sz="4" w:space="0" w:color="auto"/>
              <w:right w:val="single" w:sz="4" w:space="0" w:color="auto"/>
            </w:tcBorders>
            <w:shd w:val="clear" w:color="000000" w:fill="D9D9D9"/>
            <w:vAlign w:val="center"/>
            <w:hideMark/>
          </w:tcPr>
          <w:p w14:paraId="28F55CDC" w14:textId="77777777" w:rsidR="007A5205" w:rsidRPr="00B66512" w:rsidRDefault="007A5205" w:rsidP="00F848E9">
            <w:pPr>
              <w:jc w:val="center"/>
              <w:rPr>
                <w:rFonts w:ascii="Times New Roman" w:hAnsi="Times New Roman"/>
                <w:b/>
                <w:bCs/>
                <w:color w:val="000000"/>
              </w:rPr>
            </w:pPr>
            <w:r w:rsidRPr="00B66512">
              <w:rPr>
                <w:rFonts w:ascii="Times New Roman" w:hAnsi="Times New Roman"/>
                <w:b/>
                <w:bCs/>
                <w:color w:val="000000"/>
              </w:rPr>
              <w:t>4 007,51</w:t>
            </w:r>
          </w:p>
        </w:tc>
        <w:tc>
          <w:tcPr>
            <w:tcW w:w="1276" w:type="dxa"/>
            <w:tcBorders>
              <w:top w:val="nil"/>
              <w:left w:val="nil"/>
              <w:bottom w:val="single" w:sz="4" w:space="0" w:color="auto"/>
              <w:right w:val="single" w:sz="4" w:space="0" w:color="auto"/>
            </w:tcBorders>
            <w:shd w:val="clear" w:color="000000" w:fill="D9D9D9"/>
            <w:vAlign w:val="center"/>
            <w:hideMark/>
          </w:tcPr>
          <w:p w14:paraId="67F822B6" w14:textId="77777777" w:rsidR="007A5205" w:rsidRPr="00B66512" w:rsidRDefault="007A5205" w:rsidP="00F848E9">
            <w:pPr>
              <w:jc w:val="center"/>
              <w:rPr>
                <w:rFonts w:ascii="Times New Roman" w:hAnsi="Times New Roman"/>
                <w:b/>
                <w:bCs/>
                <w:color w:val="000000"/>
              </w:rPr>
            </w:pPr>
            <w:r w:rsidRPr="00B66512">
              <w:rPr>
                <w:rFonts w:ascii="Times New Roman" w:hAnsi="Times New Roman"/>
                <w:b/>
                <w:bCs/>
                <w:color w:val="000000"/>
              </w:rPr>
              <w:t>4 280,36</w:t>
            </w:r>
          </w:p>
        </w:tc>
        <w:tc>
          <w:tcPr>
            <w:tcW w:w="1276" w:type="dxa"/>
            <w:tcBorders>
              <w:top w:val="nil"/>
              <w:left w:val="nil"/>
              <w:bottom w:val="single" w:sz="4" w:space="0" w:color="auto"/>
              <w:right w:val="single" w:sz="4" w:space="0" w:color="auto"/>
            </w:tcBorders>
            <w:shd w:val="clear" w:color="000000" w:fill="D9D9D9"/>
            <w:vAlign w:val="center"/>
          </w:tcPr>
          <w:p w14:paraId="35588233" w14:textId="77777777" w:rsidR="007A5205" w:rsidRPr="00B66512" w:rsidRDefault="007A5205" w:rsidP="00F848E9">
            <w:pPr>
              <w:jc w:val="center"/>
              <w:rPr>
                <w:rFonts w:ascii="Times New Roman" w:hAnsi="Times New Roman"/>
                <w:b/>
                <w:bCs/>
                <w:color w:val="000000"/>
              </w:rPr>
            </w:pPr>
            <w:r w:rsidRPr="00B66512">
              <w:rPr>
                <w:rFonts w:ascii="Times New Roman" w:hAnsi="Times New Roman"/>
                <w:b/>
                <w:bCs/>
                <w:color w:val="000000"/>
              </w:rPr>
              <w:t>4 616,86</w:t>
            </w:r>
          </w:p>
        </w:tc>
      </w:tr>
    </w:tbl>
    <w:p w14:paraId="3362AF36" w14:textId="77777777" w:rsidR="008D632D" w:rsidRPr="00B66512" w:rsidRDefault="008D632D">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6BE87BB0" w14:textId="77777777" w:rsidR="007A5205" w:rsidRPr="00B66512" w:rsidRDefault="007A5205">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50DDFD4E" w14:textId="77777777" w:rsidR="00A1601E" w:rsidRPr="00B66512" w:rsidRDefault="00A1601E" w:rsidP="004B625F">
      <w:pPr>
        <w:widowControl w:val="0"/>
        <w:autoSpaceDE w:val="0"/>
        <w:autoSpaceDN w:val="0"/>
        <w:adjustRightInd w:val="0"/>
        <w:spacing w:after="0" w:line="240" w:lineRule="auto"/>
        <w:ind w:firstLine="709"/>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lastRenderedPageBreak/>
        <w:t>6. Транспорт и связь</w:t>
      </w:r>
    </w:p>
    <w:p w14:paraId="6F4B889A" w14:textId="77777777" w:rsidR="00A1601E" w:rsidRPr="00B66512" w:rsidRDefault="00A1601E" w:rsidP="004B625F">
      <w:pPr>
        <w:widowControl w:val="0"/>
        <w:autoSpaceDE w:val="0"/>
        <w:autoSpaceDN w:val="0"/>
        <w:adjustRightInd w:val="0"/>
        <w:spacing w:after="0" w:line="240" w:lineRule="auto"/>
        <w:ind w:firstLine="709"/>
        <w:rPr>
          <w:rFonts w:ascii="Times New Roman CYR" w:hAnsi="Times New Roman CYR" w:cs="Times New Roman CYR"/>
          <w:sz w:val="28"/>
          <w:szCs w:val="24"/>
        </w:rPr>
      </w:pPr>
    </w:p>
    <w:p w14:paraId="3FC47208" w14:textId="77777777" w:rsidR="004B625F" w:rsidRPr="00B66512" w:rsidRDefault="004B625F" w:rsidP="004B625F">
      <w:pPr>
        <w:spacing w:after="0" w:line="240" w:lineRule="auto"/>
        <w:ind w:firstLine="709"/>
        <w:jc w:val="both"/>
        <w:rPr>
          <w:rFonts w:ascii="Times New Roman" w:hAnsi="Times New Roman"/>
          <w:b/>
          <w:sz w:val="28"/>
          <w:szCs w:val="28"/>
        </w:rPr>
      </w:pPr>
      <w:r w:rsidRPr="00B66512">
        <w:rPr>
          <w:rFonts w:ascii="Times New Roman" w:eastAsia="MS Mincho" w:hAnsi="Times New Roman"/>
          <w:sz w:val="28"/>
          <w:szCs w:val="28"/>
          <w:lang w:eastAsia="ja-JP"/>
        </w:rPr>
        <w:t>По разделу «Транспортировка и хранение» деятельность на территории района осуществляет Каратузский филиал АО «Краевое АТП».</w:t>
      </w:r>
    </w:p>
    <w:p w14:paraId="6E5780EF" w14:textId="77777777" w:rsidR="004B625F" w:rsidRPr="00B66512" w:rsidRDefault="004B625F" w:rsidP="004B625F">
      <w:pPr>
        <w:spacing w:after="0" w:line="240" w:lineRule="auto"/>
        <w:ind w:firstLine="709"/>
        <w:jc w:val="both"/>
        <w:rPr>
          <w:rFonts w:ascii="Times New Roman" w:eastAsia="MS Mincho" w:hAnsi="Times New Roman"/>
          <w:sz w:val="28"/>
          <w:szCs w:val="28"/>
          <w:lang w:eastAsia="ja-JP"/>
        </w:rPr>
      </w:pPr>
      <w:r w:rsidRPr="00B66512">
        <w:rPr>
          <w:rFonts w:ascii="Times New Roman" w:eastAsia="MS Mincho" w:hAnsi="Times New Roman"/>
          <w:sz w:val="28"/>
          <w:szCs w:val="28"/>
          <w:lang w:eastAsia="ja-JP"/>
        </w:rPr>
        <w:t>Количество автобусных маршрутов в 2023 году уменьшилось по сравнению с  2022 годом на 3 ед. и составило 13 ед. Протяженность автобусных маршрутов в 2023 году составила  496,65 км. Количество перевезенных (отправленных) пассажиров автомобильным транспортом в 2023 году составляет 186,7 тыс. человек, что больше на 41,4%, чем в 2022 году. Увеличение показателя произошло в связи с сокращением количества частных перевозчиков, а также с резким скачком роста стоимости бензина.</w:t>
      </w:r>
    </w:p>
    <w:p w14:paraId="2DFA3D79" w14:textId="77777777" w:rsidR="004B625F" w:rsidRPr="00B66512" w:rsidRDefault="004B625F" w:rsidP="004B625F">
      <w:pPr>
        <w:spacing w:after="0" w:line="240" w:lineRule="auto"/>
        <w:ind w:firstLine="709"/>
        <w:jc w:val="both"/>
        <w:rPr>
          <w:rFonts w:ascii="Times New Roman" w:eastAsia="MS Mincho" w:hAnsi="Times New Roman"/>
          <w:sz w:val="28"/>
          <w:szCs w:val="28"/>
          <w:lang w:eastAsia="ja-JP"/>
        </w:rPr>
      </w:pPr>
      <w:r w:rsidRPr="00B66512">
        <w:rPr>
          <w:rFonts w:ascii="Times New Roman" w:eastAsia="MS Mincho" w:hAnsi="Times New Roman"/>
          <w:sz w:val="28"/>
          <w:szCs w:val="28"/>
          <w:lang w:eastAsia="ja-JP"/>
        </w:rPr>
        <w:t>В Каратузском районе протяженность автомобильных дорог местного значения на конец  2023 года составила 250,4 км, увеличение на 0,36% по сравнению с 2022 годом в связи с оформлением дорог в собственность в с.Таскино.</w:t>
      </w:r>
    </w:p>
    <w:p w14:paraId="74150D1E" w14:textId="77777777" w:rsidR="004B625F" w:rsidRPr="00B66512" w:rsidRDefault="004B625F" w:rsidP="004B625F">
      <w:pPr>
        <w:spacing w:after="0" w:line="240" w:lineRule="auto"/>
        <w:ind w:firstLine="709"/>
        <w:jc w:val="both"/>
        <w:rPr>
          <w:rFonts w:ascii="Times New Roman" w:eastAsia="MS Mincho" w:hAnsi="Times New Roman"/>
          <w:sz w:val="28"/>
          <w:szCs w:val="28"/>
          <w:lang w:eastAsia="ja-JP"/>
        </w:rPr>
      </w:pPr>
      <w:r w:rsidRPr="00B66512">
        <w:rPr>
          <w:rFonts w:ascii="Times New Roman" w:eastAsia="MS Mincho" w:hAnsi="Times New Roman"/>
          <w:sz w:val="28"/>
          <w:szCs w:val="28"/>
          <w:lang w:eastAsia="ja-JP"/>
        </w:rPr>
        <w:t>В 2023 году 80,90 км дорог из общей протяженности, не отвечающих нормативным требованиям, что составляет 32,31%. Оценка 2024 года – уменьшение общей протяженности дорог, не отвечающих нормативным требованиям на 4,96 км., темп роста 93,87% к уровню 2023 года. Прогноз на 2025 год – уменьшение на 3,20 км., темп роста 95,79% к уровню 2024 года, в 2026 году – уменьшение на 3,20 км., темп роста 95,60% к 2025 году, в 2027 году – уменьшение на 3,20, темп роста 95,40% к 2026 году.</w:t>
      </w:r>
      <w:r w:rsidRPr="00B66512">
        <w:rPr>
          <w:rFonts w:ascii="Times New Roman" w:eastAsia="MS Mincho" w:hAnsi="Times New Roman"/>
          <w:sz w:val="28"/>
          <w:szCs w:val="28"/>
          <w:lang w:eastAsia="ja-JP"/>
        </w:rPr>
        <w:tab/>
      </w:r>
    </w:p>
    <w:p w14:paraId="66A520A5" w14:textId="77777777" w:rsidR="004B625F" w:rsidRPr="00B66512" w:rsidRDefault="004B625F" w:rsidP="004B625F">
      <w:pPr>
        <w:spacing w:after="0" w:line="240" w:lineRule="auto"/>
        <w:ind w:firstLine="709"/>
        <w:jc w:val="both"/>
        <w:rPr>
          <w:rFonts w:ascii="Times New Roman" w:eastAsia="MS Mincho" w:hAnsi="Times New Roman"/>
          <w:sz w:val="28"/>
          <w:szCs w:val="28"/>
          <w:lang w:eastAsia="ja-JP"/>
        </w:rPr>
      </w:pPr>
      <w:r w:rsidRPr="00B66512">
        <w:rPr>
          <w:rFonts w:ascii="Times New Roman" w:eastAsia="MS Mincho" w:hAnsi="Times New Roman"/>
          <w:sz w:val="28"/>
          <w:szCs w:val="28"/>
          <w:lang w:eastAsia="ja-JP"/>
        </w:rPr>
        <w:t>В 2023 году проведен ремонт улично-дорожной сети общей протяженностью 11,40 км. В рамках государственных программ «Развитие транспортной системы» и «Содействие развитию местного самоуправления» в 2024 году запланирован ремонт 4,96 км и показатель составит 30,33 %, в 2025 году – 3,20 км  и процент дорог не отвечающих нормативным требованиям составит 29,05%, в 2026 году также запланирован ремонт 3,2 км и показатель составит  27,77%, в 2027 году ремонт 3,2 км, показатель составит 26,49%.</w:t>
      </w:r>
    </w:p>
    <w:p w14:paraId="67E257BE" w14:textId="77777777" w:rsidR="004B625F" w:rsidRPr="00B66512" w:rsidRDefault="004B625F" w:rsidP="004B625F">
      <w:pPr>
        <w:spacing w:after="0" w:line="240" w:lineRule="auto"/>
        <w:ind w:firstLine="709"/>
        <w:jc w:val="both"/>
        <w:rPr>
          <w:rFonts w:ascii="Times New Roman" w:eastAsia="MS Mincho" w:hAnsi="Times New Roman"/>
          <w:sz w:val="28"/>
          <w:szCs w:val="28"/>
          <w:lang w:eastAsia="ja-JP"/>
        </w:rPr>
      </w:pPr>
      <w:r w:rsidRPr="00B66512">
        <w:rPr>
          <w:rFonts w:ascii="Times New Roman" w:eastAsia="MS Mincho" w:hAnsi="Times New Roman"/>
          <w:sz w:val="28"/>
          <w:szCs w:val="28"/>
          <w:lang w:eastAsia="ja-JP"/>
        </w:rPr>
        <w:t xml:space="preserve">Паромная переправа находится на автомобильных дорогах регионального значения. </w:t>
      </w:r>
      <w:r w:rsidRPr="00B66512">
        <w:rPr>
          <w:rFonts w:ascii="Times New Roman" w:eastAsia="MS Mincho" w:hAnsi="Times New Roman"/>
          <w:sz w:val="28"/>
          <w:szCs w:val="28"/>
          <w:lang w:eastAsia="ja-JP"/>
        </w:rPr>
        <w:tab/>
      </w:r>
    </w:p>
    <w:p w14:paraId="714D1340" w14:textId="77777777" w:rsidR="004B625F" w:rsidRPr="00B66512" w:rsidRDefault="004B625F" w:rsidP="004B625F">
      <w:pPr>
        <w:spacing w:after="0" w:line="240" w:lineRule="auto"/>
        <w:ind w:firstLine="709"/>
        <w:jc w:val="both"/>
        <w:rPr>
          <w:rFonts w:ascii="Times New Roman" w:eastAsia="MS Mincho" w:hAnsi="Times New Roman"/>
          <w:sz w:val="28"/>
          <w:szCs w:val="28"/>
          <w:lang w:eastAsia="ja-JP"/>
        </w:rPr>
      </w:pPr>
      <w:r w:rsidRPr="00B66512">
        <w:rPr>
          <w:rFonts w:ascii="Times New Roman" w:eastAsia="MS Mincho" w:hAnsi="Times New Roman"/>
          <w:sz w:val="28"/>
          <w:szCs w:val="28"/>
          <w:lang w:eastAsia="ja-JP"/>
        </w:rPr>
        <w:t>Услуги сельской и междугородней телефонной связи оказывает Красноярский филиал ПАО Ростелеком. Количество телефонизированных сельских населенных пунктов – 28, что составляет 100%.</w:t>
      </w:r>
      <w:r w:rsidRPr="00B66512">
        <w:rPr>
          <w:rFonts w:ascii="Times New Roman" w:eastAsia="MS Mincho" w:hAnsi="Times New Roman"/>
          <w:sz w:val="28"/>
          <w:szCs w:val="28"/>
          <w:lang w:eastAsia="ja-JP"/>
        </w:rPr>
        <w:tab/>
      </w:r>
    </w:p>
    <w:p w14:paraId="34E8686D" w14:textId="77777777" w:rsidR="00A1601E" w:rsidRPr="00B66512" w:rsidRDefault="004B625F" w:rsidP="004B625F">
      <w:pPr>
        <w:spacing w:after="0" w:line="240" w:lineRule="auto"/>
        <w:ind w:firstLine="709"/>
        <w:jc w:val="both"/>
        <w:rPr>
          <w:rFonts w:ascii="Times New Roman" w:eastAsia="MS Mincho" w:hAnsi="Times New Roman"/>
          <w:sz w:val="28"/>
          <w:szCs w:val="28"/>
          <w:lang w:eastAsia="ja-JP"/>
        </w:rPr>
      </w:pPr>
      <w:r w:rsidRPr="00B66512">
        <w:rPr>
          <w:rFonts w:ascii="Times New Roman" w:eastAsia="MS Mincho" w:hAnsi="Times New Roman"/>
          <w:sz w:val="28"/>
          <w:szCs w:val="28"/>
          <w:lang w:eastAsia="ja-JP"/>
        </w:rPr>
        <w:t>В настоящее время на территории работают 4 оператора сотовой связи, что снизило напряженность в телефонной связи отдаленные населенные пункты.</w:t>
      </w:r>
    </w:p>
    <w:p w14:paraId="52FADFE9" w14:textId="77777777" w:rsidR="007A5205" w:rsidRPr="00B66512" w:rsidRDefault="007A5205">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7D6CBDF7"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7. Малое и среднее предпринимательство</w:t>
      </w:r>
    </w:p>
    <w:p w14:paraId="4FC0A224"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2C193132"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 xml:space="preserve">Количество малых предприятий по состоянию на конец 2023 года составило 26 единиц, что на 3,7% меньше, чем в 2022 году. Количество </w:t>
      </w:r>
      <w:r w:rsidRPr="00B66512">
        <w:rPr>
          <w:rFonts w:ascii="Times New Roman CYR" w:hAnsi="Times New Roman CYR" w:cs="Times New Roman CYR"/>
          <w:sz w:val="28"/>
          <w:szCs w:val="28"/>
          <w:lang w:eastAsia="en-US"/>
        </w:rPr>
        <w:lastRenderedPageBreak/>
        <w:t>индивидуальных предпринимателей на конец 2023 года 241 человек. Данный показатель увеличился по сравнению с 2022 годом на 8,56%. По оценке 2024 года ожидается количество индивидуальных предпринимателей 243 человек, на прогнозируемый период  2025 - 2027 годы планируется увеличение количества индивидуальных предпринимателей на 11 человек по сравнению с отчетным годом и составит 252 ед. Рост количества индивидуальных предпринимателей прогнозируется за счет смены статуса самозанятых.</w:t>
      </w:r>
    </w:p>
    <w:p w14:paraId="5D811724"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По данным ОМСУ среднесписочная численность работников организаций малого бизнеса в 2023 году по сравнению с 2022 годом выросла на 1,3% и составила 239 человек. Рост численности связан с расширением сферы деятельности предприятий.</w:t>
      </w:r>
    </w:p>
    <w:p w14:paraId="3C61A0F6"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Среднесписочная численность работников у индивидуальных предпринимателей за 2023 год увеличилась на 1,3% и составила 541 чел. По оценке 2024 года ожидается увеличение численности до 543 человек. Рост среднесписочной численности работников связан с участием предпринимателей в государственной программе «Развитие малого и среднего предпринимательства и инновационной деятельности». Прогноз на 2025 - 2027 годы планируется увеличение на 14 человек.</w:t>
      </w:r>
    </w:p>
    <w:p w14:paraId="0868D1E4"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 xml:space="preserve">Среднемесячная заработная плата работников списочного состава организаций малого бизнеса (юридических лиц) за фактический период 2023 года составила 25360,00 рублей, к уровню 2022 года рост составил 6,3%. </w:t>
      </w:r>
    </w:p>
    <w:p w14:paraId="3848C71C"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 xml:space="preserve">Наибольшая 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 в 2023 г выплачивалась работникам списочного состава по - Разделу </w:t>
      </w:r>
      <w:r w:rsidRPr="00B66512">
        <w:rPr>
          <w:rFonts w:ascii="Times New Roman CYR" w:hAnsi="Times New Roman CYR" w:cs="Times New Roman CYR"/>
          <w:sz w:val="28"/>
          <w:szCs w:val="28"/>
          <w:lang w:val="en-US" w:eastAsia="en-US"/>
        </w:rPr>
        <w:t>G</w:t>
      </w:r>
      <w:r w:rsidRPr="00B66512">
        <w:rPr>
          <w:rFonts w:ascii="Times New Roman CYR" w:hAnsi="Times New Roman CYR" w:cs="Times New Roman CYR"/>
          <w:sz w:val="28"/>
          <w:szCs w:val="28"/>
          <w:lang w:eastAsia="en-US"/>
        </w:rPr>
        <w:t>: Торговля оптовая и розничная, ремонт автотранспортных средств и мотоциклов – 25987,20 рублей, увеличение к уровню 2022 года на 34,5 %. Рост связан с начислением районного коэффициента и северной надбавки к заработной плате работников.</w:t>
      </w:r>
    </w:p>
    <w:p w14:paraId="5B0B4840"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 xml:space="preserve">Наименьшая среднемесячная заработная плата работников списочного состава организаций малого бизнеса, включая микропредприятия (юридических лиц), без внешних совместителей в 2023 г выплачивалась работникам списочного состава по – Разделу </w:t>
      </w:r>
      <w:r w:rsidRPr="00B66512">
        <w:rPr>
          <w:rFonts w:ascii="Times New Roman CYR" w:hAnsi="Times New Roman CYR" w:cs="Times New Roman CYR"/>
          <w:sz w:val="28"/>
          <w:szCs w:val="28"/>
          <w:lang w:val="en-US" w:eastAsia="en-US"/>
        </w:rPr>
        <w:t>I</w:t>
      </w:r>
      <w:r w:rsidRPr="00B66512">
        <w:rPr>
          <w:rFonts w:ascii="Times New Roman CYR" w:hAnsi="Times New Roman CYR" w:cs="Times New Roman CYR"/>
          <w:sz w:val="28"/>
          <w:szCs w:val="28"/>
          <w:lang w:eastAsia="en-US"/>
        </w:rPr>
        <w:t>: Деятельность гостиниц и предприятий общественного питания – 21677,10  рублей, увеличение к уровню 2022 года на 30,35%.</w:t>
      </w:r>
    </w:p>
    <w:p w14:paraId="5ADF993D"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 xml:space="preserve">Среднемесячная заработная плата работников у индивидуальных предпринимателей в 2023 году составила 25987,20 рублей и увеличение к уровню 2022 года на 35,33 %. </w:t>
      </w:r>
    </w:p>
    <w:p w14:paraId="4F0698C5"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 xml:space="preserve">Количество организаций по поддержке малого предпринимательства – 1 (представительство центра «Мой бизнес»), а также постановлением администрации Каратузского района от 10.08.2012г. № 1070-п при администрации района организован координационный совет в области содействия развитию малого и среднего предпринимательства. </w:t>
      </w:r>
    </w:p>
    <w:p w14:paraId="4B1F8EB7"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color w:val="000000"/>
          <w:sz w:val="28"/>
          <w:szCs w:val="28"/>
          <w:lang w:eastAsia="en-US"/>
        </w:rPr>
        <w:lastRenderedPageBreak/>
        <w:t xml:space="preserve">Продолжает действовать муниципальная программа «Развитие малого и среднего предпринимательства в Каратузском районе». Разработаны и утверждены порядки предоставления финансовой поддержки из бюджета района и предусмотрено софинансирование из краевого бюджета. </w:t>
      </w:r>
      <w:r w:rsidRPr="00B66512">
        <w:rPr>
          <w:rFonts w:ascii="Times New Roman CYR" w:hAnsi="Times New Roman CYR" w:cs="Times New Roman CYR"/>
          <w:sz w:val="28"/>
          <w:szCs w:val="28"/>
          <w:lang w:eastAsia="en-US"/>
        </w:rPr>
        <w:t>В 2023 году 11 субъектов малого и среднего предпринимательства получили финансовую поддержку, в том числе за счет местного бюджета 364,31 тыс. рублей, краевого бюджета 6568,70 тыс. рублей.</w:t>
      </w:r>
    </w:p>
    <w:p w14:paraId="14B2D175"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color w:val="000000"/>
          <w:sz w:val="28"/>
          <w:szCs w:val="28"/>
          <w:lang w:eastAsia="en-US"/>
        </w:rPr>
      </w:pPr>
      <w:r w:rsidRPr="00B66512">
        <w:rPr>
          <w:rFonts w:ascii="Times New Roman CYR" w:hAnsi="Times New Roman CYR" w:cs="Times New Roman CYR"/>
          <w:color w:val="000000"/>
          <w:sz w:val="28"/>
          <w:szCs w:val="28"/>
          <w:lang w:eastAsia="en-US"/>
        </w:rPr>
        <w:t>По оценке на 2024 год и прогнозируемый период планируется привлечение краевых и федеральных средств.</w:t>
      </w:r>
    </w:p>
    <w:p w14:paraId="2B1A3A37" w14:textId="77777777" w:rsidR="00557874" w:rsidRPr="00B66512" w:rsidRDefault="00557874" w:rsidP="00557874">
      <w:pPr>
        <w:autoSpaceDE w:val="0"/>
        <w:autoSpaceDN w:val="0"/>
        <w:adjustRightInd w:val="0"/>
        <w:spacing w:after="0" w:line="240" w:lineRule="auto"/>
        <w:ind w:right="-1"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Для субъектов малого и среднего предпринимательства, безработных граждан постоянно проводятся семинары, совещания, также оказываются информационно-консультационные услуги и практическая помощь по написанию бизнес-планов безработным гражданам для получения субсидии и открытия своего дела.</w:t>
      </w:r>
    </w:p>
    <w:p w14:paraId="2838191D" w14:textId="77777777" w:rsidR="00557874" w:rsidRPr="00B66512" w:rsidRDefault="00557874" w:rsidP="00557874">
      <w:pPr>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О мерах муниципальной поддержки, информация размещается в местной газете «Знамя труда» и на сайте администрации района, информационном стенде в здании администрации, в социальных сетях.</w:t>
      </w:r>
    </w:p>
    <w:p w14:paraId="0B282BCE" w14:textId="77777777" w:rsidR="0011583C" w:rsidRPr="00B66512" w:rsidRDefault="0011583C">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1F252F24"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8. Результаты финансовой деятельности предприятий</w:t>
      </w:r>
    </w:p>
    <w:p w14:paraId="708E3F7B"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1C2655DC" w14:textId="77777777" w:rsidR="00EA4CD4" w:rsidRPr="00B66512" w:rsidRDefault="00EA4CD4" w:rsidP="00EA4CD4">
      <w:pPr>
        <w:spacing w:after="0" w:line="240" w:lineRule="auto"/>
        <w:ind w:firstLine="709"/>
        <w:jc w:val="both"/>
        <w:rPr>
          <w:rFonts w:ascii="Times New Roman" w:hAnsi="Times New Roman"/>
          <w:sz w:val="28"/>
          <w:szCs w:val="28"/>
        </w:rPr>
      </w:pPr>
      <w:r w:rsidRPr="00B66512">
        <w:rPr>
          <w:rFonts w:ascii="Times New Roman" w:hAnsi="Times New Roman"/>
          <w:sz w:val="28"/>
          <w:szCs w:val="28"/>
        </w:rPr>
        <w:t>Налогооблагаемая база для исчисления налога на прибыль за отчетный период 2023 года составила 9 391,00 тыс. рублей, что на 72,18% ниже по отношению к отчетному периоду 2022 г., снижение произошло в связи с тем, что в 2023 году возмещена переплата плательщику налога, а также с тем, что предприятия столкнулись с увеличением расходов на ГСМ и материалы для производств, что повлекло за собой уменьшение прибыли. По оценке 2024 года ожидается  значительный рост налогооблагаемой базы к уровню 2023 года на 34 133 тыс. руб. и составит 43 524,00 тыс. руб. Ожидается, что на рост налогооблагаемой прибыли по итогам 2024 года повлияет постановка на учет в 2024 году организации (Код ОКВЭД - 41.20 – Строительство жилых и нежилых зданий). В прогнозном периоде 2025 – 2027 годах предполагается темп роста в действующих ценах налогооблагаемой прибыли на 19,64% к уровню 2024 года. Основным плательщиком налога на прибыль также остается АО «Каратузское ДРСУ».</w:t>
      </w:r>
    </w:p>
    <w:p w14:paraId="05B89C49" w14:textId="77777777" w:rsidR="00EA4CD4" w:rsidRPr="00B66512" w:rsidRDefault="00EA4CD4" w:rsidP="00EA4CD4">
      <w:pPr>
        <w:spacing w:after="0" w:line="240" w:lineRule="auto"/>
        <w:ind w:firstLine="709"/>
        <w:jc w:val="both"/>
        <w:rPr>
          <w:rFonts w:ascii="Times New Roman" w:hAnsi="Times New Roman"/>
          <w:b/>
          <w:sz w:val="28"/>
          <w:szCs w:val="28"/>
        </w:rPr>
      </w:pPr>
      <w:r w:rsidRPr="00B66512">
        <w:rPr>
          <w:rFonts w:ascii="Times New Roman" w:hAnsi="Times New Roman"/>
          <w:sz w:val="28"/>
          <w:szCs w:val="28"/>
        </w:rPr>
        <w:t>Количество прибыльных сельскохозяйственных предприятий в 2023 году отражено два предприятия ООО «Стожары» и  СХА (Колхоза) им. Ленина. Финансовая деятельность предприятий осуществляется с прибылью.</w:t>
      </w:r>
    </w:p>
    <w:p w14:paraId="16505B50" w14:textId="77777777" w:rsidR="00585D95" w:rsidRPr="00B66512" w:rsidRDefault="00EA4CD4" w:rsidP="00EA4CD4">
      <w:pPr>
        <w:keepNext/>
        <w:spacing w:after="0" w:line="240" w:lineRule="auto"/>
        <w:ind w:firstLine="709"/>
        <w:jc w:val="both"/>
        <w:outlineLvl w:val="1"/>
        <w:rPr>
          <w:rFonts w:ascii="Times New Roman" w:hAnsi="Times New Roman"/>
          <w:bCs/>
          <w:iCs/>
          <w:sz w:val="28"/>
          <w:szCs w:val="28"/>
        </w:rPr>
      </w:pPr>
      <w:r w:rsidRPr="00B66512">
        <w:rPr>
          <w:rFonts w:ascii="Times New Roman" w:hAnsi="Times New Roman"/>
          <w:bCs/>
          <w:iCs/>
          <w:sz w:val="28"/>
          <w:szCs w:val="28"/>
        </w:rPr>
        <w:t>Удельный вес прибыльных организаций по данным Красноярскстата за 2023 год составляет 100%. Предприятий муниципальной формы собственности, уплачивающих налог на прибыль в районе нет.</w:t>
      </w:r>
    </w:p>
    <w:p w14:paraId="23CBC7C8" w14:textId="77777777" w:rsidR="00EA4CD4" w:rsidRPr="00B66512" w:rsidRDefault="00EA4CD4">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5BBC1494" w14:textId="77777777" w:rsidR="002E7FC7" w:rsidRPr="00B66512" w:rsidRDefault="00A1601E" w:rsidP="002E7FC7">
      <w:pPr>
        <w:widowControl w:val="0"/>
        <w:autoSpaceDE w:val="0"/>
        <w:autoSpaceDN w:val="0"/>
        <w:adjustRightInd w:val="0"/>
        <w:spacing w:after="0" w:line="240" w:lineRule="auto"/>
        <w:rPr>
          <w:rFonts w:ascii="Times New Roman CYR" w:hAnsi="Times New Roman CYR" w:cs="Times New Roman CYR"/>
          <w:b/>
          <w:bCs/>
          <w:color w:val="000000"/>
          <w:sz w:val="28"/>
          <w:szCs w:val="28"/>
        </w:rPr>
      </w:pPr>
      <w:r w:rsidRPr="00B66512">
        <w:rPr>
          <w:rFonts w:ascii="Times New Roman CYR" w:hAnsi="Times New Roman CYR" w:cs="Times New Roman CYR"/>
          <w:b/>
          <w:bCs/>
          <w:color w:val="000000"/>
          <w:sz w:val="28"/>
          <w:szCs w:val="28"/>
        </w:rPr>
        <w:t>9. Бюджет муниципального образования</w:t>
      </w:r>
    </w:p>
    <w:p w14:paraId="596E5232" w14:textId="77777777" w:rsidR="002E7FC7" w:rsidRPr="00B66512" w:rsidRDefault="002E7FC7" w:rsidP="002E7FC7">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14:paraId="78543F99" w14:textId="77777777" w:rsidR="002E7FC7" w:rsidRPr="00B66512" w:rsidRDefault="002E7FC7" w:rsidP="002E7FC7">
      <w:pPr>
        <w:spacing w:after="0" w:line="240" w:lineRule="auto"/>
        <w:ind w:firstLine="709"/>
        <w:jc w:val="both"/>
        <w:rPr>
          <w:rFonts w:ascii="Times New Roman" w:hAnsi="Times New Roman"/>
          <w:sz w:val="28"/>
          <w:szCs w:val="28"/>
          <w:lang w:eastAsia="en-US"/>
        </w:rPr>
      </w:pPr>
      <w:r w:rsidRPr="00B66512">
        <w:rPr>
          <w:rFonts w:ascii="Times New Roman" w:hAnsi="Times New Roman"/>
          <w:sz w:val="28"/>
          <w:szCs w:val="28"/>
          <w:lang w:eastAsia="en-US"/>
        </w:rPr>
        <w:t>Доходы бюджета муниципального образования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Красноярского края о налогах и сборах, нормативно-правовыми актами Совета депутатов Каратузского района о налогах и сборах, в основном за счет поступления налоговых и неналоговых доходов.</w:t>
      </w:r>
    </w:p>
    <w:p w14:paraId="5318BEF3" w14:textId="77777777" w:rsidR="002E7FC7" w:rsidRPr="00B66512" w:rsidRDefault="002E7FC7" w:rsidP="002E7FC7">
      <w:pPr>
        <w:spacing w:after="0" w:line="240" w:lineRule="auto"/>
        <w:ind w:firstLine="709"/>
        <w:jc w:val="both"/>
        <w:rPr>
          <w:rFonts w:ascii="Times New Roman" w:hAnsi="Times New Roman"/>
          <w:sz w:val="28"/>
          <w:szCs w:val="28"/>
          <w:lang w:eastAsia="en-US"/>
        </w:rPr>
      </w:pPr>
      <w:r w:rsidRPr="00B66512">
        <w:rPr>
          <w:rFonts w:ascii="Times New Roman" w:hAnsi="Times New Roman"/>
          <w:sz w:val="28"/>
          <w:szCs w:val="28"/>
          <w:lang w:eastAsia="en-US"/>
        </w:rPr>
        <w:t>Доходы бюджета муниципального образования в 2023 году составили 1 208 669,72  тыс. руб., к уровню 2022 года составляют 109,20%. Собственные доходы за 2023 год составили 83 300,16 тыс. руб., к уровню 2022 года составляют 105,52%.</w:t>
      </w:r>
    </w:p>
    <w:p w14:paraId="77625F8B" w14:textId="77777777" w:rsidR="002E7FC7" w:rsidRPr="00B66512" w:rsidRDefault="002E7FC7" w:rsidP="002E7FC7">
      <w:pPr>
        <w:spacing w:after="0" w:line="240" w:lineRule="auto"/>
        <w:ind w:firstLine="709"/>
        <w:jc w:val="both"/>
        <w:rPr>
          <w:rFonts w:ascii="Times New Roman" w:hAnsi="Times New Roman"/>
          <w:sz w:val="28"/>
          <w:szCs w:val="28"/>
          <w:lang w:eastAsia="en-US"/>
        </w:rPr>
      </w:pPr>
      <w:r w:rsidRPr="00B66512">
        <w:rPr>
          <w:rFonts w:ascii="Times New Roman" w:hAnsi="Times New Roman"/>
          <w:sz w:val="28"/>
          <w:szCs w:val="28"/>
          <w:lang w:eastAsia="en-US"/>
        </w:rPr>
        <w:t>Налоговые доходы бюджета составили 71 667,20 тыс. руб., к уровню 2022 года 102,04%. Неналоговые доходы бюджета составили 11 632,96 тыс. руб., к уровню 2022 года 133,64%.</w:t>
      </w:r>
    </w:p>
    <w:p w14:paraId="13F84D96" w14:textId="77777777" w:rsidR="002E7FC7" w:rsidRPr="00B66512" w:rsidRDefault="002E7FC7" w:rsidP="002E7FC7">
      <w:pPr>
        <w:spacing w:after="0" w:line="240" w:lineRule="auto"/>
        <w:ind w:firstLine="709"/>
        <w:jc w:val="both"/>
        <w:rPr>
          <w:rFonts w:ascii="Times New Roman" w:hAnsi="Times New Roman"/>
          <w:sz w:val="28"/>
          <w:szCs w:val="28"/>
        </w:rPr>
      </w:pPr>
      <w:r w:rsidRPr="00B66512">
        <w:rPr>
          <w:rFonts w:ascii="Times New Roman" w:hAnsi="Times New Roman"/>
          <w:sz w:val="28"/>
          <w:szCs w:val="28"/>
          <w:lang w:eastAsia="en-US"/>
        </w:rPr>
        <w:t xml:space="preserve">Безвозмездные поступления </w:t>
      </w:r>
      <w:r w:rsidRPr="00B66512">
        <w:rPr>
          <w:rFonts w:ascii="Times New Roman" w:hAnsi="Times New Roman"/>
          <w:sz w:val="28"/>
          <w:szCs w:val="28"/>
        </w:rPr>
        <w:t>1 125 369,56 тыс. руб., к уровню 2022 года 109,49%.</w:t>
      </w:r>
    </w:p>
    <w:p w14:paraId="37C53129" w14:textId="77777777" w:rsidR="002E7FC7" w:rsidRPr="00B66512" w:rsidRDefault="002E7FC7" w:rsidP="002E7FC7">
      <w:pPr>
        <w:spacing w:after="0" w:line="240" w:lineRule="auto"/>
        <w:ind w:firstLine="709"/>
        <w:jc w:val="both"/>
        <w:rPr>
          <w:rFonts w:ascii="Times New Roman" w:hAnsi="Times New Roman"/>
          <w:sz w:val="28"/>
          <w:szCs w:val="28"/>
          <w:lang w:eastAsia="en-US"/>
        </w:rPr>
      </w:pPr>
      <w:r w:rsidRPr="00B66512">
        <w:rPr>
          <w:rFonts w:ascii="Times New Roman" w:hAnsi="Times New Roman"/>
          <w:sz w:val="28"/>
          <w:szCs w:val="28"/>
          <w:lang w:eastAsia="en-US"/>
        </w:rPr>
        <w:t>В структуре доходов районного бюджета в 2023 году наибольший удельный вес занимают безвозмездные поступления, на их долю приходится 93,1 %. Налоговые доходы составляют 5,9 %, неналоговые составляют 1,0 % доходов районного бюджета.</w:t>
      </w:r>
    </w:p>
    <w:p w14:paraId="22FBB82E" w14:textId="77777777" w:rsidR="002E7FC7" w:rsidRPr="00B66512" w:rsidRDefault="002E7FC7" w:rsidP="002E7FC7">
      <w:pPr>
        <w:spacing w:after="0" w:line="240" w:lineRule="auto"/>
        <w:ind w:firstLine="709"/>
        <w:jc w:val="both"/>
        <w:rPr>
          <w:rFonts w:ascii="Times New Roman" w:hAnsi="Times New Roman"/>
          <w:sz w:val="28"/>
          <w:szCs w:val="28"/>
          <w:lang w:eastAsia="en-US"/>
        </w:rPr>
      </w:pPr>
      <w:r w:rsidRPr="00B66512">
        <w:rPr>
          <w:rFonts w:ascii="Times New Roman" w:hAnsi="Times New Roman"/>
          <w:sz w:val="28"/>
          <w:szCs w:val="28"/>
          <w:lang w:eastAsia="en-US"/>
        </w:rPr>
        <w:t>Расходы бюджета муниципального образования в 2023 году составили 1 211 381,27 тыс. руб. Дефицит бюджета в 2023 году составил 2 711, 55 тыс. руб.</w:t>
      </w:r>
    </w:p>
    <w:p w14:paraId="2DD57EB9" w14:textId="77777777" w:rsidR="00EA4CD4" w:rsidRPr="00B66512" w:rsidRDefault="00EA4CD4">
      <w:pPr>
        <w:widowControl w:val="0"/>
        <w:autoSpaceDE w:val="0"/>
        <w:autoSpaceDN w:val="0"/>
        <w:adjustRightInd w:val="0"/>
        <w:spacing w:after="0" w:line="240" w:lineRule="auto"/>
        <w:rPr>
          <w:rFonts w:ascii="Times New Roman CYR" w:hAnsi="Times New Roman CYR" w:cs="Times New Roman CYR"/>
          <w:color w:val="000000"/>
          <w:sz w:val="28"/>
          <w:szCs w:val="28"/>
        </w:rPr>
      </w:pPr>
    </w:p>
    <w:p w14:paraId="726B5A04"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10. Общественное питание</w:t>
      </w:r>
    </w:p>
    <w:p w14:paraId="1B69515A"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3262B3F3" w14:textId="77777777" w:rsidR="00500B80" w:rsidRPr="00B66512" w:rsidRDefault="00500B80" w:rsidP="00500B80">
      <w:pPr>
        <w:autoSpaceDE w:val="0"/>
        <w:autoSpaceDN w:val="0"/>
        <w:adjustRightInd w:val="0"/>
        <w:spacing w:after="0" w:line="240" w:lineRule="auto"/>
        <w:ind w:firstLine="709"/>
        <w:jc w:val="both"/>
        <w:rPr>
          <w:rFonts w:ascii="Times New Roman" w:hAnsi="Times New Roman" w:cs="Calibri"/>
          <w:sz w:val="28"/>
          <w:szCs w:val="28"/>
        </w:rPr>
      </w:pPr>
      <w:r w:rsidRPr="00B66512">
        <w:rPr>
          <w:rFonts w:ascii="Times New Roman" w:hAnsi="Times New Roman" w:cs="Calibri"/>
          <w:sz w:val="28"/>
          <w:szCs w:val="28"/>
        </w:rPr>
        <w:t>Услуги общественного питания являются особыми по важности, они занимают определяющее место на отраслевом рынке предоставления потребительских услуг в районе.</w:t>
      </w:r>
    </w:p>
    <w:p w14:paraId="0F9E4B58" w14:textId="77777777" w:rsidR="00500B80" w:rsidRPr="00B66512" w:rsidRDefault="00500B80" w:rsidP="00500B80">
      <w:pPr>
        <w:autoSpaceDE w:val="0"/>
        <w:autoSpaceDN w:val="0"/>
        <w:adjustRightInd w:val="0"/>
        <w:spacing w:after="0" w:line="240" w:lineRule="auto"/>
        <w:ind w:firstLine="709"/>
        <w:jc w:val="both"/>
        <w:rPr>
          <w:rFonts w:ascii="Times New Roman" w:hAnsi="Times New Roman" w:cs="Calibri"/>
          <w:sz w:val="28"/>
          <w:szCs w:val="28"/>
        </w:rPr>
      </w:pPr>
      <w:r w:rsidRPr="00B66512">
        <w:rPr>
          <w:rFonts w:ascii="Times New Roman" w:hAnsi="Times New Roman" w:cs="Calibri"/>
          <w:sz w:val="28"/>
          <w:szCs w:val="28"/>
        </w:rPr>
        <w:t>Одним из показателей, характеризующих развитие общественного питания, является динамика оборота общественного питания. Оборот общественного питания  сформирован  за счет  субъектов малого и среднего  предпринимательства и родительской платы за школьное питание.</w:t>
      </w:r>
    </w:p>
    <w:p w14:paraId="46BD2F2F" w14:textId="77777777" w:rsidR="00500B80" w:rsidRPr="00B66512" w:rsidRDefault="00500B80" w:rsidP="00500B80">
      <w:pPr>
        <w:autoSpaceDE w:val="0"/>
        <w:autoSpaceDN w:val="0"/>
        <w:adjustRightInd w:val="0"/>
        <w:spacing w:after="0" w:line="240" w:lineRule="auto"/>
        <w:ind w:firstLine="709"/>
        <w:jc w:val="both"/>
        <w:rPr>
          <w:rFonts w:ascii="Times New Roman" w:hAnsi="Times New Roman" w:cs="Calibri"/>
          <w:sz w:val="28"/>
          <w:szCs w:val="28"/>
        </w:rPr>
      </w:pPr>
      <w:r w:rsidRPr="00B66512">
        <w:rPr>
          <w:rFonts w:ascii="Times New Roman" w:hAnsi="Times New Roman" w:cs="Calibri"/>
          <w:sz w:val="28"/>
          <w:szCs w:val="28"/>
        </w:rPr>
        <w:t xml:space="preserve"> Оборот об</w:t>
      </w:r>
      <w:r w:rsidR="008343F5">
        <w:rPr>
          <w:rFonts w:ascii="Times New Roman" w:hAnsi="Times New Roman" w:cs="Calibri"/>
          <w:sz w:val="28"/>
          <w:szCs w:val="28"/>
        </w:rPr>
        <w:t>щественного питания в 2023 году</w:t>
      </w:r>
      <w:r w:rsidRPr="00B66512">
        <w:rPr>
          <w:rFonts w:ascii="Times New Roman" w:hAnsi="Times New Roman" w:cs="Calibri"/>
          <w:sz w:val="28"/>
          <w:szCs w:val="28"/>
        </w:rPr>
        <w:t xml:space="preserve"> составил 41 072,50 тыс. рублей, по сравнению с 2022 годом темп роста составил 100,40%. По оценке 2024 года планируется увеличение оборота общественного питания в сумме 45 925,80 тыс. рублей, темп роста к 2023 году на 100,46%. Прогноз на 2025 год – темп роста 103,10% к уровню 2024 года и составит 50 237,80 тыс. рублей, в 2026 году – темп роста 101,90% к уровню 2025 года и составит 53 268,90</w:t>
      </w:r>
      <w:r w:rsidRPr="00B66512">
        <w:rPr>
          <w:rFonts w:ascii="Times New Roman" w:hAnsi="Times New Roman"/>
          <w:sz w:val="24"/>
          <w:szCs w:val="24"/>
        </w:rPr>
        <w:t xml:space="preserve"> </w:t>
      </w:r>
      <w:r w:rsidRPr="00B66512">
        <w:rPr>
          <w:rFonts w:ascii="Times New Roman" w:hAnsi="Times New Roman" w:cs="Calibri"/>
          <w:sz w:val="28"/>
          <w:szCs w:val="28"/>
        </w:rPr>
        <w:t xml:space="preserve"> тыс. рублей, в 2027 году – темп роста 101,90 % к уровню 2026 года и составит 56 584,50 тыс. рублей. </w:t>
      </w:r>
    </w:p>
    <w:p w14:paraId="62C7EB19" w14:textId="77777777" w:rsidR="00500B80" w:rsidRPr="00B66512" w:rsidRDefault="00500B80" w:rsidP="00500B80">
      <w:pPr>
        <w:autoSpaceDE w:val="0"/>
        <w:autoSpaceDN w:val="0"/>
        <w:adjustRightInd w:val="0"/>
        <w:spacing w:after="0" w:line="240" w:lineRule="auto"/>
        <w:ind w:firstLine="709"/>
        <w:jc w:val="both"/>
        <w:rPr>
          <w:rFonts w:ascii="Times New Roman" w:hAnsi="Times New Roman" w:cs="Calibri"/>
          <w:sz w:val="28"/>
          <w:szCs w:val="28"/>
        </w:rPr>
      </w:pPr>
      <w:r w:rsidRPr="00B66512">
        <w:rPr>
          <w:rFonts w:ascii="Times New Roman" w:hAnsi="Times New Roman" w:cs="Calibri"/>
          <w:sz w:val="28"/>
          <w:szCs w:val="28"/>
        </w:rPr>
        <w:lastRenderedPageBreak/>
        <w:t xml:space="preserve">Предполагается, что дальнейшее развитие сферы  общественного питания в районе будет в значительной мере зависеть от позитивных изменений в реальном секторе экономики, повышения покупательской способности на этот вид услуг, и снижения инфляционных процессов. </w:t>
      </w:r>
    </w:p>
    <w:p w14:paraId="2A9313CC" w14:textId="77777777" w:rsidR="00500B80" w:rsidRPr="00B66512" w:rsidRDefault="00500B80" w:rsidP="00500B80">
      <w:pPr>
        <w:autoSpaceDE w:val="0"/>
        <w:autoSpaceDN w:val="0"/>
        <w:adjustRightInd w:val="0"/>
        <w:spacing w:after="0" w:line="240" w:lineRule="auto"/>
        <w:ind w:firstLine="709"/>
        <w:jc w:val="both"/>
        <w:rPr>
          <w:rFonts w:ascii="Times New Roman" w:hAnsi="Times New Roman" w:cs="Calibri"/>
          <w:sz w:val="28"/>
          <w:szCs w:val="28"/>
        </w:rPr>
      </w:pPr>
      <w:r w:rsidRPr="00B66512">
        <w:rPr>
          <w:rFonts w:ascii="Times New Roman" w:hAnsi="Times New Roman" w:cs="Calibri"/>
          <w:sz w:val="28"/>
          <w:szCs w:val="28"/>
        </w:rPr>
        <w:t xml:space="preserve">Сеть предприятий общественного питания района насчитывает 7 объектов кафе-баров общей площадью 268 кв. метров на 136 мест. В районе 13 столовых учебных заведений  площадью 667,9 м2 на 584 мест. </w:t>
      </w:r>
    </w:p>
    <w:p w14:paraId="676B3A4B" w14:textId="77777777" w:rsidR="00500B80" w:rsidRDefault="00500B80" w:rsidP="00500B80">
      <w:pPr>
        <w:autoSpaceDE w:val="0"/>
        <w:autoSpaceDN w:val="0"/>
        <w:adjustRightInd w:val="0"/>
        <w:spacing w:after="0" w:line="240" w:lineRule="auto"/>
        <w:ind w:firstLine="709"/>
        <w:jc w:val="both"/>
        <w:rPr>
          <w:rFonts w:ascii="Times New Roman" w:hAnsi="Times New Roman" w:cs="Calibri"/>
          <w:sz w:val="28"/>
          <w:szCs w:val="28"/>
        </w:rPr>
      </w:pPr>
      <w:r w:rsidRPr="00B66512">
        <w:rPr>
          <w:rFonts w:ascii="Times New Roman" w:hAnsi="Times New Roman" w:cs="Calibri"/>
          <w:sz w:val="28"/>
          <w:szCs w:val="28"/>
        </w:rPr>
        <w:t>Общественного питания предприятий муниципальной формы собственности нет.</w:t>
      </w:r>
    </w:p>
    <w:p w14:paraId="17A85080" w14:textId="77777777" w:rsidR="008343F5" w:rsidRPr="00B66512" w:rsidRDefault="008343F5" w:rsidP="00500B80">
      <w:pPr>
        <w:autoSpaceDE w:val="0"/>
        <w:autoSpaceDN w:val="0"/>
        <w:adjustRightInd w:val="0"/>
        <w:spacing w:after="0" w:line="240" w:lineRule="auto"/>
        <w:ind w:firstLine="709"/>
        <w:jc w:val="both"/>
        <w:rPr>
          <w:rFonts w:ascii="Times New Roman" w:hAnsi="Times New Roman" w:cs="Calibri"/>
          <w:sz w:val="28"/>
          <w:szCs w:val="28"/>
        </w:rPr>
      </w:pPr>
    </w:p>
    <w:tbl>
      <w:tblPr>
        <w:tblW w:w="98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0"/>
        <w:gridCol w:w="1334"/>
        <w:gridCol w:w="992"/>
        <w:gridCol w:w="1134"/>
        <w:gridCol w:w="1134"/>
        <w:gridCol w:w="1134"/>
        <w:gridCol w:w="1134"/>
        <w:gridCol w:w="1076"/>
      </w:tblGrid>
      <w:tr w:rsidR="00500B80" w:rsidRPr="00B66512" w14:paraId="7A9EA3C2" w14:textId="77777777" w:rsidTr="00F848E9">
        <w:trPr>
          <w:trHeight w:val="243"/>
          <w:jc w:val="center"/>
        </w:trPr>
        <w:tc>
          <w:tcPr>
            <w:tcW w:w="1870" w:type="dxa"/>
            <w:vMerge w:val="restart"/>
            <w:tcBorders>
              <w:top w:val="single" w:sz="4" w:space="0" w:color="auto"/>
              <w:bottom w:val="single" w:sz="4" w:space="0" w:color="auto"/>
              <w:right w:val="single" w:sz="4" w:space="0" w:color="auto"/>
            </w:tcBorders>
          </w:tcPr>
          <w:p w14:paraId="2F24FEA4"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p>
          <w:p w14:paraId="39499FA3"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Наименование показателей</w:t>
            </w:r>
          </w:p>
        </w:tc>
        <w:tc>
          <w:tcPr>
            <w:tcW w:w="1334" w:type="dxa"/>
            <w:vMerge w:val="restart"/>
            <w:tcBorders>
              <w:top w:val="single" w:sz="4" w:space="0" w:color="auto"/>
              <w:left w:val="single" w:sz="4" w:space="0" w:color="auto"/>
              <w:bottom w:val="single" w:sz="4" w:space="0" w:color="auto"/>
              <w:right w:val="single" w:sz="4" w:space="0" w:color="auto"/>
            </w:tcBorders>
          </w:tcPr>
          <w:p w14:paraId="587E03AF"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p>
          <w:p w14:paraId="756037BF"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Единица</w:t>
            </w:r>
          </w:p>
          <w:p w14:paraId="07479F2A"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измерения</w:t>
            </w:r>
          </w:p>
        </w:tc>
        <w:tc>
          <w:tcPr>
            <w:tcW w:w="6604" w:type="dxa"/>
            <w:gridSpan w:val="6"/>
            <w:tcBorders>
              <w:top w:val="single" w:sz="4" w:space="0" w:color="auto"/>
              <w:left w:val="single" w:sz="4" w:space="0" w:color="auto"/>
              <w:bottom w:val="single" w:sz="4" w:space="0" w:color="auto"/>
            </w:tcBorders>
          </w:tcPr>
          <w:p w14:paraId="61B1BCA3"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Годы</w:t>
            </w:r>
          </w:p>
        </w:tc>
      </w:tr>
      <w:tr w:rsidR="00500B80" w:rsidRPr="00B66512" w14:paraId="6D4A3CBF" w14:textId="77777777" w:rsidTr="00F848E9">
        <w:trPr>
          <w:trHeight w:val="617"/>
          <w:jc w:val="center"/>
        </w:trPr>
        <w:tc>
          <w:tcPr>
            <w:tcW w:w="1870" w:type="dxa"/>
            <w:vMerge/>
            <w:tcBorders>
              <w:top w:val="single" w:sz="4" w:space="0" w:color="auto"/>
              <w:bottom w:val="single" w:sz="4" w:space="0" w:color="auto"/>
              <w:right w:val="single" w:sz="4" w:space="0" w:color="auto"/>
            </w:tcBorders>
            <w:vAlign w:val="center"/>
          </w:tcPr>
          <w:p w14:paraId="32FD54EB" w14:textId="77777777" w:rsidR="00500B80" w:rsidRPr="00B66512" w:rsidRDefault="00500B80" w:rsidP="00500B80">
            <w:pPr>
              <w:autoSpaceDE w:val="0"/>
              <w:autoSpaceDN w:val="0"/>
              <w:adjustRightInd w:val="0"/>
              <w:spacing w:after="0" w:line="240" w:lineRule="auto"/>
              <w:rPr>
                <w:rFonts w:ascii="Times New Roman" w:hAnsi="Times New Roman"/>
                <w:sz w:val="24"/>
                <w:szCs w:val="24"/>
                <w:lang w:eastAsia="en-US"/>
              </w:rPr>
            </w:pPr>
          </w:p>
        </w:tc>
        <w:tc>
          <w:tcPr>
            <w:tcW w:w="1334" w:type="dxa"/>
            <w:vMerge/>
            <w:tcBorders>
              <w:top w:val="single" w:sz="4" w:space="0" w:color="auto"/>
              <w:left w:val="single" w:sz="4" w:space="0" w:color="auto"/>
              <w:bottom w:val="single" w:sz="4" w:space="0" w:color="auto"/>
              <w:right w:val="single" w:sz="4" w:space="0" w:color="auto"/>
            </w:tcBorders>
            <w:vAlign w:val="center"/>
          </w:tcPr>
          <w:p w14:paraId="3BAF968F" w14:textId="77777777" w:rsidR="00500B80" w:rsidRPr="00B66512" w:rsidRDefault="00500B80" w:rsidP="00500B80">
            <w:pPr>
              <w:autoSpaceDE w:val="0"/>
              <w:autoSpaceDN w:val="0"/>
              <w:adjustRightInd w:val="0"/>
              <w:spacing w:after="0" w:line="240" w:lineRule="auto"/>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A2FC7F6"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2022</w:t>
            </w:r>
          </w:p>
          <w:p w14:paraId="7617044D"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отчет</w:t>
            </w:r>
          </w:p>
        </w:tc>
        <w:tc>
          <w:tcPr>
            <w:tcW w:w="1134" w:type="dxa"/>
            <w:tcBorders>
              <w:top w:val="single" w:sz="4" w:space="0" w:color="auto"/>
              <w:left w:val="single" w:sz="4" w:space="0" w:color="auto"/>
              <w:bottom w:val="single" w:sz="4" w:space="0" w:color="auto"/>
              <w:right w:val="single" w:sz="4" w:space="0" w:color="auto"/>
            </w:tcBorders>
          </w:tcPr>
          <w:p w14:paraId="6C0CF94D"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2023</w:t>
            </w:r>
          </w:p>
          <w:p w14:paraId="48C4FE93"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отчет</w:t>
            </w:r>
          </w:p>
        </w:tc>
        <w:tc>
          <w:tcPr>
            <w:tcW w:w="1134" w:type="dxa"/>
            <w:tcBorders>
              <w:top w:val="single" w:sz="4" w:space="0" w:color="auto"/>
              <w:left w:val="single" w:sz="4" w:space="0" w:color="auto"/>
              <w:bottom w:val="single" w:sz="4" w:space="0" w:color="auto"/>
              <w:right w:val="single" w:sz="4" w:space="0" w:color="auto"/>
            </w:tcBorders>
          </w:tcPr>
          <w:p w14:paraId="48673421"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2024</w:t>
            </w:r>
          </w:p>
          <w:p w14:paraId="3A47B0F4"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оценка</w:t>
            </w:r>
          </w:p>
        </w:tc>
        <w:tc>
          <w:tcPr>
            <w:tcW w:w="1134" w:type="dxa"/>
            <w:tcBorders>
              <w:top w:val="single" w:sz="4" w:space="0" w:color="auto"/>
              <w:left w:val="single" w:sz="4" w:space="0" w:color="auto"/>
              <w:bottom w:val="single" w:sz="4" w:space="0" w:color="auto"/>
              <w:right w:val="single" w:sz="4" w:space="0" w:color="auto"/>
            </w:tcBorders>
          </w:tcPr>
          <w:p w14:paraId="6B5C47BF"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2025</w:t>
            </w:r>
          </w:p>
          <w:p w14:paraId="4E3952B0"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прогноз</w:t>
            </w:r>
          </w:p>
          <w:p w14:paraId="0825FDC9"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II вариант</w:t>
            </w:r>
          </w:p>
        </w:tc>
        <w:tc>
          <w:tcPr>
            <w:tcW w:w="1134" w:type="dxa"/>
            <w:tcBorders>
              <w:top w:val="single" w:sz="4" w:space="0" w:color="auto"/>
              <w:left w:val="single" w:sz="4" w:space="0" w:color="auto"/>
              <w:bottom w:val="single" w:sz="4" w:space="0" w:color="auto"/>
              <w:right w:val="single" w:sz="4" w:space="0" w:color="auto"/>
            </w:tcBorders>
          </w:tcPr>
          <w:p w14:paraId="3485C550"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2026</w:t>
            </w:r>
          </w:p>
          <w:p w14:paraId="0AEF57DF"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прогноз</w:t>
            </w:r>
          </w:p>
          <w:p w14:paraId="1B0AB645"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II вариант</w:t>
            </w:r>
          </w:p>
        </w:tc>
        <w:tc>
          <w:tcPr>
            <w:tcW w:w="1076" w:type="dxa"/>
            <w:tcBorders>
              <w:top w:val="single" w:sz="4" w:space="0" w:color="auto"/>
              <w:left w:val="single" w:sz="4" w:space="0" w:color="auto"/>
              <w:bottom w:val="single" w:sz="4" w:space="0" w:color="auto"/>
            </w:tcBorders>
          </w:tcPr>
          <w:p w14:paraId="04FF27A6"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2027</w:t>
            </w:r>
          </w:p>
          <w:p w14:paraId="4BA0AFB8"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прогноз</w:t>
            </w:r>
          </w:p>
          <w:p w14:paraId="6E820A52"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II вариант</w:t>
            </w:r>
          </w:p>
          <w:p w14:paraId="0DD2DBE3"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p>
        </w:tc>
      </w:tr>
      <w:tr w:rsidR="00500B80" w:rsidRPr="00B66512" w14:paraId="5768C5F9" w14:textId="77777777" w:rsidTr="00F848E9">
        <w:trPr>
          <w:trHeight w:val="155"/>
          <w:jc w:val="center"/>
        </w:trPr>
        <w:tc>
          <w:tcPr>
            <w:tcW w:w="1870" w:type="dxa"/>
            <w:tcBorders>
              <w:top w:val="single" w:sz="4" w:space="0" w:color="auto"/>
              <w:bottom w:val="single" w:sz="4" w:space="0" w:color="auto"/>
              <w:right w:val="single" w:sz="4" w:space="0" w:color="auto"/>
            </w:tcBorders>
          </w:tcPr>
          <w:p w14:paraId="54096ECF" w14:textId="77777777" w:rsidR="00500B80" w:rsidRPr="00B66512" w:rsidRDefault="00500B80" w:rsidP="00500B80">
            <w:pPr>
              <w:autoSpaceDE w:val="0"/>
              <w:autoSpaceDN w:val="0"/>
              <w:adjustRightInd w:val="0"/>
              <w:spacing w:after="0" w:line="240" w:lineRule="auto"/>
              <w:jc w:val="both"/>
              <w:rPr>
                <w:rFonts w:ascii="Times New Roman" w:hAnsi="Times New Roman"/>
                <w:sz w:val="24"/>
                <w:szCs w:val="24"/>
                <w:lang w:eastAsia="en-US"/>
              </w:rPr>
            </w:pPr>
            <w:r w:rsidRPr="00B66512">
              <w:rPr>
                <w:rFonts w:ascii="Times New Roman" w:hAnsi="Times New Roman"/>
                <w:sz w:val="24"/>
                <w:szCs w:val="24"/>
                <w:lang w:eastAsia="en-US"/>
              </w:rPr>
              <w:t>Оборот общественного питания</w:t>
            </w:r>
          </w:p>
        </w:tc>
        <w:tc>
          <w:tcPr>
            <w:tcW w:w="1334" w:type="dxa"/>
            <w:tcBorders>
              <w:top w:val="single" w:sz="4" w:space="0" w:color="auto"/>
              <w:left w:val="single" w:sz="4" w:space="0" w:color="auto"/>
              <w:bottom w:val="single" w:sz="4" w:space="0" w:color="auto"/>
              <w:right w:val="single" w:sz="4" w:space="0" w:color="auto"/>
            </w:tcBorders>
            <w:vAlign w:val="center"/>
          </w:tcPr>
          <w:p w14:paraId="08ECEC1F"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14:paraId="042B0A7A"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37428,10</w:t>
            </w:r>
          </w:p>
        </w:tc>
        <w:tc>
          <w:tcPr>
            <w:tcW w:w="1134" w:type="dxa"/>
            <w:tcBorders>
              <w:top w:val="single" w:sz="4" w:space="0" w:color="auto"/>
              <w:left w:val="single" w:sz="4" w:space="0" w:color="auto"/>
              <w:bottom w:val="single" w:sz="4" w:space="0" w:color="auto"/>
              <w:right w:val="single" w:sz="4" w:space="0" w:color="auto"/>
            </w:tcBorders>
            <w:vAlign w:val="center"/>
          </w:tcPr>
          <w:p w14:paraId="023D9A0E"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41072,50</w:t>
            </w:r>
          </w:p>
        </w:tc>
        <w:tc>
          <w:tcPr>
            <w:tcW w:w="1134" w:type="dxa"/>
            <w:tcBorders>
              <w:top w:val="single" w:sz="4" w:space="0" w:color="auto"/>
              <w:left w:val="single" w:sz="4" w:space="0" w:color="auto"/>
              <w:bottom w:val="single" w:sz="4" w:space="0" w:color="auto"/>
              <w:right w:val="single" w:sz="4" w:space="0" w:color="auto"/>
            </w:tcBorders>
            <w:vAlign w:val="center"/>
          </w:tcPr>
          <w:p w14:paraId="104BB340"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45925,80</w:t>
            </w:r>
          </w:p>
        </w:tc>
        <w:tc>
          <w:tcPr>
            <w:tcW w:w="1134" w:type="dxa"/>
            <w:tcBorders>
              <w:top w:val="single" w:sz="4" w:space="0" w:color="auto"/>
              <w:left w:val="single" w:sz="4" w:space="0" w:color="auto"/>
              <w:bottom w:val="single" w:sz="4" w:space="0" w:color="auto"/>
              <w:right w:val="single" w:sz="4" w:space="0" w:color="auto"/>
            </w:tcBorders>
            <w:vAlign w:val="center"/>
          </w:tcPr>
          <w:p w14:paraId="43285F84"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50237,80</w:t>
            </w:r>
          </w:p>
        </w:tc>
        <w:tc>
          <w:tcPr>
            <w:tcW w:w="1134" w:type="dxa"/>
            <w:tcBorders>
              <w:top w:val="single" w:sz="4" w:space="0" w:color="auto"/>
              <w:left w:val="single" w:sz="4" w:space="0" w:color="auto"/>
              <w:bottom w:val="single" w:sz="4" w:space="0" w:color="auto"/>
              <w:right w:val="single" w:sz="4" w:space="0" w:color="auto"/>
            </w:tcBorders>
            <w:vAlign w:val="center"/>
          </w:tcPr>
          <w:p w14:paraId="7EE51D72"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53291,20</w:t>
            </w:r>
          </w:p>
        </w:tc>
        <w:tc>
          <w:tcPr>
            <w:tcW w:w="1076" w:type="dxa"/>
            <w:tcBorders>
              <w:top w:val="single" w:sz="4" w:space="0" w:color="auto"/>
              <w:left w:val="single" w:sz="4" w:space="0" w:color="auto"/>
              <w:bottom w:val="single" w:sz="4" w:space="0" w:color="auto"/>
            </w:tcBorders>
            <w:vAlign w:val="center"/>
          </w:tcPr>
          <w:p w14:paraId="36A79E18"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56584,50</w:t>
            </w:r>
          </w:p>
        </w:tc>
      </w:tr>
      <w:tr w:rsidR="00500B80" w:rsidRPr="00B66512" w14:paraId="16353A26" w14:textId="77777777" w:rsidTr="00F848E9">
        <w:trPr>
          <w:trHeight w:val="857"/>
          <w:jc w:val="center"/>
        </w:trPr>
        <w:tc>
          <w:tcPr>
            <w:tcW w:w="1870" w:type="dxa"/>
            <w:tcBorders>
              <w:top w:val="single" w:sz="4" w:space="0" w:color="auto"/>
              <w:bottom w:val="single" w:sz="4" w:space="0" w:color="auto"/>
              <w:right w:val="single" w:sz="4" w:space="0" w:color="auto"/>
            </w:tcBorders>
          </w:tcPr>
          <w:p w14:paraId="697FD7B1" w14:textId="77777777" w:rsidR="00500B80" w:rsidRPr="00B66512" w:rsidRDefault="00500B80" w:rsidP="00500B80">
            <w:pPr>
              <w:autoSpaceDE w:val="0"/>
              <w:autoSpaceDN w:val="0"/>
              <w:adjustRightInd w:val="0"/>
              <w:spacing w:after="0" w:line="240" w:lineRule="auto"/>
              <w:jc w:val="both"/>
              <w:rPr>
                <w:rFonts w:ascii="Times New Roman" w:hAnsi="Times New Roman"/>
                <w:sz w:val="24"/>
                <w:szCs w:val="24"/>
                <w:lang w:eastAsia="en-US"/>
              </w:rPr>
            </w:pPr>
            <w:r w:rsidRPr="00B66512">
              <w:rPr>
                <w:rFonts w:ascii="Times New Roman" w:hAnsi="Times New Roman"/>
                <w:sz w:val="24"/>
                <w:szCs w:val="24"/>
                <w:lang w:eastAsia="en-US"/>
              </w:rPr>
              <w:t>Темп роста в сопоставимых ценах</w:t>
            </w:r>
          </w:p>
        </w:tc>
        <w:tc>
          <w:tcPr>
            <w:tcW w:w="1334" w:type="dxa"/>
            <w:tcBorders>
              <w:top w:val="single" w:sz="4" w:space="0" w:color="auto"/>
              <w:left w:val="single" w:sz="4" w:space="0" w:color="auto"/>
              <w:bottom w:val="single" w:sz="4" w:space="0" w:color="auto"/>
              <w:right w:val="single" w:sz="4" w:space="0" w:color="auto"/>
            </w:tcBorders>
            <w:vAlign w:val="center"/>
          </w:tcPr>
          <w:p w14:paraId="68829344"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4587C1B"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120,53</w:t>
            </w:r>
          </w:p>
        </w:tc>
        <w:tc>
          <w:tcPr>
            <w:tcW w:w="1134" w:type="dxa"/>
            <w:tcBorders>
              <w:top w:val="single" w:sz="4" w:space="0" w:color="auto"/>
              <w:left w:val="single" w:sz="4" w:space="0" w:color="auto"/>
              <w:bottom w:val="single" w:sz="4" w:space="0" w:color="auto"/>
              <w:right w:val="single" w:sz="4" w:space="0" w:color="auto"/>
            </w:tcBorders>
            <w:vAlign w:val="center"/>
          </w:tcPr>
          <w:p w14:paraId="019E00F0"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100,40</w:t>
            </w:r>
          </w:p>
        </w:tc>
        <w:tc>
          <w:tcPr>
            <w:tcW w:w="1134" w:type="dxa"/>
            <w:tcBorders>
              <w:top w:val="single" w:sz="4" w:space="0" w:color="auto"/>
              <w:left w:val="single" w:sz="4" w:space="0" w:color="auto"/>
              <w:bottom w:val="single" w:sz="4" w:space="0" w:color="auto"/>
              <w:right w:val="single" w:sz="4" w:space="0" w:color="auto"/>
            </w:tcBorders>
            <w:vAlign w:val="center"/>
          </w:tcPr>
          <w:p w14:paraId="2596A4AC"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100,46</w:t>
            </w:r>
          </w:p>
        </w:tc>
        <w:tc>
          <w:tcPr>
            <w:tcW w:w="1134" w:type="dxa"/>
            <w:tcBorders>
              <w:top w:val="single" w:sz="4" w:space="0" w:color="auto"/>
              <w:left w:val="single" w:sz="4" w:space="0" w:color="auto"/>
              <w:bottom w:val="single" w:sz="4" w:space="0" w:color="auto"/>
              <w:right w:val="single" w:sz="4" w:space="0" w:color="auto"/>
            </w:tcBorders>
            <w:vAlign w:val="center"/>
          </w:tcPr>
          <w:p w14:paraId="1F3817C7"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103,10</w:t>
            </w:r>
          </w:p>
        </w:tc>
        <w:tc>
          <w:tcPr>
            <w:tcW w:w="1134" w:type="dxa"/>
            <w:tcBorders>
              <w:top w:val="single" w:sz="4" w:space="0" w:color="auto"/>
              <w:left w:val="single" w:sz="4" w:space="0" w:color="auto"/>
              <w:bottom w:val="single" w:sz="4" w:space="0" w:color="auto"/>
              <w:right w:val="single" w:sz="4" w:space="0" w:color="auto"/>
            </w:tcBorders>
            <w:vAlign w:val="center"/>
          </w:tcPr>
          <w:p w14:paraId="45F50299"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101,90</w:t>
            </w:r>
          </w:p>
        </w:tc>
        <w:tc>
          <w:tcPr>
            <w:tcW w:w="1076" w:type="dxa"/>
            <w:tcBorders>
              <w:top w:val="single" w:sz="4" w:space="0" w:color="auto"/>
              <w:left w:val="single" w:sz="4" w:space="0" w:color="auto"/>
              <w:bottom w:val="single" w:sz="4" w:space="0" w:color="auto"/>
            </w:tcBorders>
            <w:vAlign w:val="center"/>
          </w:tcPr>
          <w:p w14:paraId="63718CD9"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101,90</w:t>
            </w:r>
          </w:p>
        </w:tc>
      </w:tr>
      <w:tr w:rsidR="00500B80" w:rsidRPr="00B66512" w14:paraId="1E655924" w14:textId="77777777" w:rsidTr="00F848E9">
        <w:trPr>
          <w:trHeight w:val="687"/>
          <w:jc w:val="center"/>
        </w:trPr>
        <w:tc>
          <w:tcPr>
            <w:tcW w:w="1870" w:type="dxa"/>
            <w:tcBorders>
              <w:top w:val="single" w:sz="4" w:space="0" w:color="auto"/>
              <w:bottom w:val="single" w:sz="4" w:space="0" w:color="auto"/>
              <w:right w:val="single" w:sz="4" w:space="0" w:color="auto"/>
            </w:tcBorders>
          </w:tcPr>
          <w:p w14:paraId="13048B11" w14:textId="77777777" w:rsidR="00500B80" w:rsidRPr="00B66512" w:rsidRDefault="00500B80" w:rsidP="00500B80">
            <w:pPr>
              <w:autoSpaceDE w:val="0"/>
              <w:autoSpaceDN w:val="0"/>
              <w:adjustRightInd w:val="0"/>
              <w:spacing w:after="0" w:line="240" w:lineRule="auto"/>
              <w:jc w:val="both"/>
              <w:rPr>
                <w:rFonts w:ascii="Times New Roman" w:hAnsi="Times New Roman"/>
                <w:sz w:val="24"/>
                <w:szCs w:val="24"/>
                <w:lang w:eastAsia="en-US"/>
              </w:rPr>
            </w:pPr>
            <w:r w:rsidRPr="00B66512">
              <w:rPr>
                <w:rFonts w:ascii="Times New Roman" w:hAnsi="Times New Roman"/>
                <w:sz w:val="24"/>
                <w:szCs w:val="24"/>
                <w:lang w:eastAsia="en-US"/>
              </w:rPr>
              <w:t>Обеспеченность местами общественного питания на 1000 жителей</w:t>
            </w:r>
          </w:p>
        </w:tc>
        <w:tc>
          <w:tcPr>
            <w:tcW w:w="1334" w:type="dxa"/>
            <w:tcBorders>
              <w:top w:val="single" w:sz="4" w:space="0" w:color="auto"/>
              <w:left w:val="single" w:sz="4" w:space="0" w:color="auto"/>
              <w:bottom w:val="single" w:sz="4" w:space="0" w:color="auto"/>
              <w:right w:val="single" w:sz="4" w:space="0" w:color="auto"/>
            </w:tcBorders>
          </w:tcPr>
          <w:p w14:paraId="3057B4B0"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p>
          <w:p w14:paraId="2FBB8F8B"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мест на 1000</w:t>
            </w:r>
          </w:p>
          <w:p w14:paraId="497E8589" w14:textId="77777777" w:rsidR="00500B80" w:rsidRPr="00B66512" w:rsidRDefault="00500B80" w:rsidP="00500B80">
            <w:pPr>
              <w:autoSpaceDE w:val="0"/>
              <w:autoSpaceDN w:val="0"/>
              <w:adjustRightInd w:val="0"/>
              <w:spacing w:after="0" w:line="240" w:lineRule="auto"/>
              <w:jc w:val="center"/>
              <w:rPr>
                <w:rFonts w:ascii="Times New Roman" w:hAnsi="Times New Roman"/>
                <w:sz w:val="24"/>
                <w:szCs w:val="24"/>
                <w:lang w:eastAsia="en-US"/>
              </w:rPr>
            </w:pPr>
            <w:r w:rsidRPr="00B66512">
              <w:rPr>
                <w:rFonts w:ascii="Times New Roman" w:hAnsi="Times New Roman"/>
                <w:sz w:val="24"/>
                <w:szCs w:val="24"/>
                <w:lang w:eastAsia="en-US"/>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14:paraId="15D5C1E6"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10,03</w:t>
            </w:r>
          </w:p>
        </w:tc>
        <w:tc>
          <w:tcPr>
            <w:tcW w:w="1134" w:type="dxa"/>
            <w:tcBorders>
              <w:top w:val="single" w:sz="4" w:space="0" w:color="auto"/>
              <w:left w:val="single" w:sz="4" w:space="0" w:color="auto"/>
              <w:bottom w:val="single" w:sz="4" w:space="0" w:color="auto"/>
              <w:right w:val="single" w:sz="4" w:space="0" w:color="auto"/>
            </w:tcBorders>
            <w:vAlign w:val="center"/>
          </w:tcPr>
          <w:p w14:paraId="447C41F6"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54,29</w:t>
            </w:r>
          </w:p>
        </w:tc>
        <w:tc>
          <w:tcPr>
            <w:tcW w:w="1134" w:type="dxa"/>
            <w:tcBorders>
              <w:top w:val="single" w:sz="4" w:space="0" w:color="auto"/>
              <w:left w:val="single" w:sz="4" w:space="0" w:color="auto"/>
              <w:bottom w:val="single" w:sz="4" w:space="0" w:color="auto"/>
              <w:right w:val="single" w:sz="4" w:space="0" w:color="auto"/>
            </w:tcBorders>
            <w:vAlign w:val="center"/>
          </w:tcPr>
          <w:p w14:paraId="6DFB570D"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E478203"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78538354"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х</w:t>
            </w:r>
          </w:p>
        </w:tc>
        <w:tc>
          <w:tcPr>
            <w:tcW w:w="1076" w:type="dxa"/>
            <w:tcBorders>
              <w:top w:val="single" w:sz="4" w:space="0" w:color="auto"/>
              <w:left w:val="single" w:sz="4" w:space="0" w:color="auto"/>
              <w:bottom w:val="single" w:sz="4" w:space="0" w:color="auto"/>
            </w:tcBorders>
            <w:vAlign w:val="center"/>
          </w:tcPr>
          <w:p w14:paraId="36E23057" w14:textId="77777777" w:rsidR="00500B80" w:rsidRPr="00B66512" w:rsidRDefault="00500B80" w:rsidP="00500B80">
            <w:pPr>
              <w:autoSpaceDE w:val="0"/>
              <w:autoSpaceDN w:val="0"/>
              <w:adjustRightInd w:val="0"/>
              <w:spacing w:after="0" w:line="240" w:lineRule="auto"/>
              <w:jc w:val="center"/>
              <w:rPr>
                <w:rFonts w:ascii="Times New Roman" w:hAnsi="Times New Roman"/>
                <w:sz w:val="20"/>
                <w:szCs w:val="20"/>
                <w:lang w:eastAsia="en-US"/>
              </w:rPr>
            </w:pPr>
            <w:r w:rsidRPr="00B66512">
              <w:rPr>
                <w:rFonts w:ascii="Times New Roman" w:hAnsi="Times New Roman"/>
                <w:sz w:val="20"/>
                <w:szCs w:val="20"/>
                <w:lang w:eastAsia="en-US"/>
              </w:rPr>
              <w:t>х</w:t>
            </w:r>
          </w:p>
        </w:tc>
      </w:tr>
    </w:tbl>
    <w:p w14:paraId="31198442" w14:textId="77777777" w:rsidR="002E7FC7" w:rsidRPr="00B66512" w:rsidRDefault="002E7FC7">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3AF3AB13"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11. Розничная торговля</w:t>
      </w:r>
    </w:p>
    <w:p w14:paraId="30F6BC3D"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04A03CD1" w14:textId="77777777" w:rsidR="004B630E" w:rsidRPr="00B66512" w:rsidRDefault="004B630E" w:rsidP="004B630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Главной задачей развития розничной торговли является создание  условий  для  удовлетворения  спроса населения на потребительские  товары, обеспечение качества и безопасности их  предоставления,  облегчение  доступа к товарам и услугам для всех социальных групп жителей муниципального образования.</w:t>
      </w:r>
    </w:p>
    <w:p w14:paraId="1249CA70" w14:textId="77777777" w:rsidR="004B630E" w:rsidRPr="00B66512" w:rsidRDefault="004B630E" w:rsidP="004B630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Состояние торговли определяется платёжеспособным спросом, структурой потребительских предпочтений, ожиданиями населения и имеют прямую зависимость от экономической ситуации в стране и регионе.</w:t>
      </w:r>
    </w:p>
    <w:p w14:paraId="33E7DA1E" w14:textId="77777777" w:rsidR="004B630E" w:rsidRPr="00B66512" w:rsidRDefault="004B630E" w:rsidP="004B630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Развитие потребительского рынка Каратузского района в настоящее время имеет устойчивый положительный характер. Торговля входит в число ведущих отраслей экономики района и развития малого предпринимательства, которое способно наиболее гибко и своевременно реагировать на изменение конъюнктуры, предлагая новые пути удовлетворения потребностей общества.</w:t>
      </w:r>
    </w:p>
    <w:p w14:paraId="60A789E9" w14:textId="77777777" w:rsidR="004B630E" w:rsidRPr="00B66512" w:rsidRDefault="004B630E" w:rsidP="004B630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lastRenderedPageBreak/>
        <w:t>По состоянию на 01.01.2024 года количество объектов потребительского рынка, осуществляющих деятельность на территории муниципального образования, составляет – 115 единиц, что  на 3 объекта торговли больше, чем в 2022 году. Площадь торгового зала объектов розничной торговли на 01.01.2024 г. составляет 9933,4 кв. м.</w:t>
      </w: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7"/>
        <w:gridCol w:w="1142"/>
        <w:gridCol w:w="1187"/>
        <w:gridCol w:w="1134"/>
        <w:gridCol w:w="1275"/>
        <w:gridCol w:w="1276"/>
        <w:gridCol w:w="1276"/>
        <w:gridCol w:w="1276"/>
      </w:tblGrid>
      <w:tr w:rsidR="004B630E" w:rsidRPr="00B66512" w14:paraId="2335E301" w14:textId="77777777" w:rsidTr="00F848E9">
        <w:tc>
          <w:tcPr>
            <w:tcW w:w="1607" w:type="dxa"/>
            <w:vMerge w:val="restart"/>
            <w:tcBorders>
              <w:top w:val="single" w:sz="4" w:space="0" w:color="auto"/>
              <w:bottom w:val="single" w:sz="4" w:space="0" w:color="auto"/>
              <w:right w:val="single" w:sz="4" w:space="0" w:color="auto"/>
            </w:tcBorders>
          </w:tcPr>
          <w:p w14:paraId="1662A7C2"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Наименование показателей</w:t>
            </w:r>
          </w:p>
        </w:tc>
        <w:tc>
          <w:tcPr>
            <w:tcW w:w="1142" w:type="dxa"/>
            <w:vMerge w:val="restart"/>
            <w:tcBorders>
              <w:top w:val="single" w:sz="4" w:space="0" w:color="auto"/>
              <w:left w:val="single" w:sz="4" w:space="0" w:color="auto"/>
              <w:bottom w:val="single" w:sz="4" w:space="0" w:color="auto"/>
              <w:right w:val="single" w:sz="4" w:space="0" w:color="auto"/>
            </w:tcBorders>
          </w:tcPr>
          <w:p w14:paraId="61CA7778"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Ед.</w:t>
            </w:r>
          </w:p>
          <w:p w14:paraId="2F562710"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изм.</w:t>
            </w:r>
          </w:p>
          <w:p w14:paraId="17255CF1"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szCs w:val="24"/>
                <w:lang w:eastAsia="en-US"/>
              </w:rPr>
            </w:pPr>
          </w:p>
        </w:tc>
        <w:tc>
          <w:tcPr>
            <w:tcW w:w="7424" w:type="dxa"/>
            <w:gridSpan w:val="6"/>
            <w:tcBorders>
              <w:top w:val="single" w:sz="4" w:space="0" w:color="auto"/>
              <w:left w:val="single" w:sz="4" w:space="0" w:color="auto"/>
              <w:bottom w:val="single" w:sz="4" w:space="0" w:color="auto"/>
            </w:tcBorders>
          </w:tcPr>
          <w:p w14:paraId="0F6B5202"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Годы</w:t>
            </w:r>
          </w:p>
        </w:tc>
      </w:tr>
      <w:tr w:rsidR="004B630E" w:rsidRPr="00B66512" w14:paraId="72B1D60A" w14:textId="77777777" w:rsidTr="00F848E9">
        <w:tc>
          <w:tcPr>
            <w:tcW w:w="1607" w:type="dxa"/>
            <w:vMerge/>
            <w:tcBorders>
              <w:top w:val="single" w:sz="4" w:space="0" w:color="auto"/>
              <w:bottom w:val="single" w:sz="4" w:space="0" w:color="auto"/>
              <w:right w:val="single" w:sz="4" w:space="0" w:color="auto"/>
            </w:tcBorders>
            <w:vAlign w:val="center"/>
          </w:tcPr>
          <w:p w14:paraId="655273C1"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p>
        </w:tc>
        <w:tc>
          <w:tcPr>
            <w:tcW w:w="1142" w:type="dxa"/>
            <w:vMerge/>
            <w:tcBorders>
              <w:top w:val="single" w:sz="4" w:space="0" w:color="auto"/>
              <w:left w:val="single" w:sz="4" w:space="0" w:color="auto"/>
              <w:bottom w:val="single" w:sz="4" w:space="0" w:color="auto"/>
              <w:right w:val="single" w:sz="4" w:space="0" w:color="auto"/>
            </w:tcBorders>
            <w:vAlign w:val="center"/>
          </w:tcPr>
          <w:p w14:paraId="272F9D83"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14:paraId="68BA81BB"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2022</w:t>
            </w:r>
          </w:p>
          <w:p w14:paraId="560FC64A"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отчет</w:t>
            </w:r>
          </w:p>
        </w:tc>
        <w:tc>
          <w:tcPr>
            <w:tcW w:w="1134" w:type="dxa"/>
            <w:tcBorders>
              <w:top w:val="single" w:sz="4" w:space="0" w:color="auto"/>
              <w:left w:val="single" w:sz="4" w:space="0" w:color="auto"/>
              <w:bottom w:val="single" w:sz="4" w:space="0" w:color="auto"/>
              <w:right w:val="single" w:sz="4" w:space="0" w:color="auto"/>
            </w:tcBorders>
          </w:tcPr>
          <w:p w14:paraId="3636D92E"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2023</w:t>
            </w:r>
          </w:p>
          <w:p w14:paraId="71367A72"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отчет</w:t>
            </w:r>
          </w:p>
        </w:tc>
        <w:tc>
          <w:tcPr>
            <w:tcW w:w="1275" w:type="dxa"/>
            <w:tcBorders>
              <w:top w:val="single" w:sz="4" w:space="0" w:color="auto"/>
              <w:left w:val="single" w:sz="4" w:space="0" w:color="auto"/>
              <w:bottom w:val="single" w:sz="4" w:space="0" w:color="auto"/>
              <w:right w:val="single" w:sz="4" w:space="0" w:color="auto"/>
            </w:tcBorders>
          </w:tcPr>
          <w:p w14:paraId="52046538"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2024</w:t>
            </w:r>
          </w:p>
          <w:p w14:paraId="0DABEE49"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оценка</w:t>
            </w:r>
          </w:p>
        </w:tc>
        <w:tc>
          <w:tcPr>
            <w:tcW w:w="1276" w:type="dxa"/>
            <w:tcBorders>
              <w:top w:val="single" w:sz="4" w:space="0" w:color="auto"/>
              <w:left w:val="single" w:sz="4" w:space="0" w:color="auto"/>
              <w:bottom w:val="single" w:sz="4" w:space="0" w:color="auto"/>
              <w:right w:val="single" w:sz="4" w:space="0" w:color="auto"/>
            </w:tcBorders>
          </w:tcPr>
          <w:p w14:paraId="17E1314D"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2025</w:t>
            </w:r>
          </w:p>
          <w:p w14:paraId="352D1517"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прогноз</w:t>
            </w:r>
          </w:p>
          <w:p w14:paraId="1D8EDD16"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 вариант</w:t>
            </w:r>
          </w:p>
        </w:tc>
        <w:tc>
          <w:tcPr>
            <w:tcW w:w="1276" w:type="dxa"/>
            <w:tcBorders>
              <w:top w:val="single" w:sz="4" w:space="0" w:color="auto"/>
              <w:left w:val="single" w:sz="4" w:space="0" w:color="auto"/>
              <w:bottom w:val="single" w:sz="4" w:space="0" w:color="auto"/>
              <w:right w:val="single" w:sz="4" w:space="0" w:color="auto"/>
            </w:tcBorders>
          </w:tcPr>
          <w:p w14:paraId="0CC464A5"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2026</w:t>
            </w:r>
          </w:p>
          <w:p w14:paraId="6555C4A3"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прогноз</w:t>
            </w:r>
          </w:p>
          <w:p w14:paraId="266591FC"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 вариант</w:t>
            </w:r>
          </w:p>
        </w:tc>
        <w:tc>
          <w:tcPr>
            <w:tcW w:w="1276" w:type="dxa"/>
            <w:tcBorders>
              <w:top w:val="single" w:sz="4" w:space="0" w:color="auto"/>
              <w:left w:val="single" w:sz="4" w:space="0" w:color="auto"/>
              <w:bottom w:val="single" w:sz="4" w:space="0" w:color="auto"/>
            </w:tcBorders>
          </w:tcPr>
          <w:p w14:paraId="219E3230"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2027</w:t>
            </w:r>
          </w:p>
          <w:p w14:paraId="4CF81369"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прогноз</w:t>
            </w:r>
          </w:p>
          <w:p w14:paraId="640D70EB"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2 вариант</w:t>
            </w:r>
          </w:p>
        </w:tc>
      </w:tr>
      <w:tr w:rsidR="004B630E" w:rsidRPr="00B66512" w14:paraId="05C473B2" w14:textId="77777777" w:rsidTr="00F848E9">
        <w:tc>
          <w:tcPr>
            <w:tcW w:w="1607" w:type="dxa"/>
            <w:tcBorders>
              <w:top w:val="single" w:sz="4" w:space="0" w:color="auto"/>
              <w:bottom w:val="single" w:sz="4" w:space="0" w:color="auto"/>
              <w:right w:val="single" w:sz="4" w:space="0" w:color="auto"/>
            </w:tcBorders>
          </w:tcPr>
          <w:p w14:paraId="2B6D2257"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Оборот розничной торговли</w:t>
            </w:r>
          </w:p>
        </w:tc>
        <w:tc>
          <w:tcPr>
            <w:tcW w:w="1142" w:type="dxa"/>
            <w:tcBorders>
              <w:top w:val="single" w:sz="4" w:space="0" w:color="auto"/>
              <w:left w:val="single" w:sz="4" w:space="0" w:color="auto"/>
              <w:bottom w:val="single" w:sz="4" w:space="0" w:color="auto"/>
              <w:right w:val="single" w:sz="4" w:space="0" w:color="auto"/>
            </w:tcBorders>
          </w:tcPr>
          <w:p w14:paraId="14CB1BE1"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p>
          <w:p w14:paraId="4EF94A06"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тыс. руб.</w:t>
            </w:r>
          </w:p>
        </w:tc>
        <w:tc>
          <w:tcPr>
            <w:tcW w:w="1187" w:type="dxa"/>
            <w:tcBorders>
              <w:top w:val="single" w:sz="4" w:space="0" w:color="auto"/>
              <w:left w:val="single" w:sz="4" w:space="0" w:color="auto"/>
              <w:bottom w:val="single" w:sz="4" w:space="0" w:color="auto"/>
              <w:right w:val="single" w:sz="4" w:space="0" w:color="auto"/>
            </w:tcBorders>
            <w:vAlign w:val="center"/>
          </w:tcPr>
          <w:p w14:paraId="4C99A65D"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978331,70</w:t>
            </w:r>
          </w:p>
        </w:tc>
        <w:tc>
          <w:tcPr>
            <w:tcW w:w="1134" w:type="dxa"/>
            <w:tcBorders>
              <w:top w:val="single" w:sz="4" w:space="0" w:color="auto"/>
              <w:left w:val="single" w:sz="4" w:space="0" w:color="auto"/>
              <w:bottom w:val="single" w:sz="4" w:space="0" w:color="auto"/>
              <w:right w:val="single" w:sz="4" w:space="0" w:color="auto"/>
            </w:tcBorders>
            <w:vAlign w:val="center"/>
          </w:tcPr>
          <w:p w14:paraId="3D9023FD"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szCs w:val="20"/>
                <w:lang w:eastAsia="en-US"/>
              </w:rPr>
            </w:pPr>
            <w:r w:rsidRPr="00B66512">
              <w:rPr>
                <w:rFonts w:ascii="Times New Roman CYR" w:hAnsi="Times New Roman CYR" w:cs="Times New Roman CYR"/>
                <w:color w:val="000000"/>
                <w:sz w:val="20"/>
                <w:szCs w:val="20"/>
                <w:lang w:eastAsia="en-US"/>
              </w:rPr>
              <w:t>1095836,8</w:t>
            </w:r>
          </w:p>
        </w:tc>
        <w:tc>
          <w:tcPr>
            <w:tcW w:w="1275" w:type="dxa"/>
            <w:tcBorders>
              <w:top w:val="single" w:sz="4" w:space="0" w:color="auto"/>
              <w:left w:val="single" w:sz="4" w:space="0" w:color="auto"/>
              <w:bottom w:val="single" w:sz="4" w:space="0" w:color="auto"/>
              <w:right w:val="single" w:sz="4" w:space="0" w:color="auto"/>
            </w:tcBorders>
            <w:vAlign w:val="center"/>
          </w:tcPr>
          <w:p w14:paraId="5DC17175"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szCs w:val="20"/>
                <w:lang w:eastAsia="en-US"/>
              </w:rPr>
            </w:pPr>
            <w:r w:rsidRPr="00B66512">
              <w:rPr>
                <w:rFonts w:ascii="Times New Roman CYR" w:hAnsi="Times New Roman CYR" w:cs="Times New Roman CYR"/>
                <w:color w:val="000000"/>
                <w:sz w:val="20"/>
                <w:szCs w:val="20"/>
                <w:lang w:eastAsia="en-US"/>
              </w:rPr>
              <w:t>1262045,4</w:t>
            </w:r>
          </w:p>
        </w:tc>
        <w:tc>
          <w:tcPr>
            <w:tcW w:w="1276" w:type="dxa"/>
            <w:tcBorders>
              <w:top w:val="single" w:sz="4" w:space="0" w:color="auto"/>
              <w:left w:val="single" w:sz="4" w:space="0" w:color="auto"/>
              <w:bottom w:val="single" w:sz="4" w:space="0" w:color="auto"/>
              <w:right w:val="single" w:sz="4" w:space="0" w:color="auto"/>
            </w:tcBorders>
            <w:vAlign w:val="bottom"/>
          </w:tcPr>
          <w:p w14:paraId="612A7975"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szCs w:val="20"/>
                <w:lang w:eastAsia="en-US"/>
              </w:rPr>
            </w:pPr>
            <w:r w:rsidRPr="00B66512">
              <w:rPr>
                <w:rFonts w:ascii="Times New Roman CYR" w:hAnsi="Times New Roman CYR" w:cs="Times New Roman CYR"/>
                <w:color w:val="000000"/>
                <w:sz w:val="20"/>
                <w:szCs w:val="20"/>
                <w:lang w:eastAsia="en-US"/>
              </w:rPr>
              <w:t>1388032,9</w:t>
            </w:r>
          </w:p>
        </w:tc>
        <w:tc>
          <w:tcPr>
            <w:tcW w:w="1276" w:type="dxa"/>
            <w:tcBorders>
              <w:top w:val="single" w:sz="4" w:space="0" w:color="auto"/>
              <w:left w:val="single" w:sz="4" w:space="0" w:color="auto"/>
              <w:bottom w:val="single" w:sz="4" w:space="0" w:color="auto"/>
              <w:right w:val="single" w:sz="4" w:space="0" w:color="auto"/>
            </w:tcBorders>
            <w:vAlign w:val="bottom"/>
          </w:tcPr>
          <w:p w14:paraId="3582632F"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szCs w:val="20"/>
                <w:lang w:eastAsia="en-US"/>
              </w:rPr>
            </w:pPr>
            <w:r w:rsidRPr="00B66512">
              <w:rPr>
                <w:rFonts w:ascii="Times New Roman CYR" w:hAnsi="Times New Roman CYR" w:cs="Times New Roman CYR"/>
                <w:color w:val="000000"/>
                <w:sz w:val="20"/>
                <w:szCs w:val="20"/>
                <w:lang w:eastAsia="en-US"/>
              </w:rPr>
              <w:t>1503458,3</w:t>
            </w:r>
          </w:p>
        </w:tc>
        <w:tc>
          <w:tcPr>
            <w:tcW w:w="1276" w:type="dxa"/>
            <w:tcBorders>
              <w:top w:val="single" w:sz="4" w:space="0" w:color="auto"/>
              <w:left w:val="single" w:sz="4" w:space="0" w:color="auto"/>
              <w:bottom w:val="single" w:sz="4" w:space="0" w:color="auto"/>
            </w:tcBorders>
            <w:vAlign w:val="bottom"/>
          </w:tcPr>
          <w:p w14:paraId="6623C835"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szCs w:val="20"/>
                <w:lang w:eastAsia="en-US"/>
              </w:rPr>
            </w:pPr>
            <w:r w:rsidRPr="00B66512">
              <w:rPr>
                <w:rFonts w:ascii="Times New Roman CYR" w:hAnsi="Times New Roman CYR" w:cs="Times New Roman CYR"/>
                <w:color w:val="000000"/>
                <w:sz w:val="20"/>
                <w:szCs w:val="20"/>
                <w:lang w:eastAsia="en-US"/>
              </w:rPr>
              <w:t>1617953,2</w:t>
            </w:r>
          </w:p>
        </w:tc>
      </w:tr>
      <w:tr w:rsidR="004B630E" w:rsidRPr="00B66512" w14:paraId="6B510FE1" w14:textId="77777777" w:rsidTr="00F848E9">
        <w:tc>
          <w:tcPr>
            <w:tcW w:w="1607" w:type="dxa"/>
            <w:tcBorders>
              <w:top w:val="single" w:sz="4" w:space="0" w:color="auto"/>
              <w:bottom w:val="single" w:sz="4" w:space="0" w:color="auto"/>
              <w:right w:val="single" w:sz="4" w:space="0" w:color="auto"/>
            </w:tcBorders>
          </w:tcPr>
          <w:p w14:paraId="5C97305B"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Темп  роста в сопоставимых  ценах</w:t>
            </w:r>
          </w:p>
        </w:tc>
        <w:tc>
          <w:tcPr>
            <w:tcW w:w="1142" w:type="dxa"/>
            <w:tcBorders>
              <w:top w:val="single" w:sz="4" w:space="0" w:color="auto"/>
              <w:left w:val="single" w:sz="4" w:space="0" w:color="auto"/>
              <w:bottom w:val="single" w:sz="4" w:space="0" w:color="auto"/>
              <w:right w:val="single" w:sz="4" w:space="0" w:color="auto"/>
            </w:tcBorders>
          </w:tcPr>
          <w:p w14:paraId="2F26F1D8"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 xml:space="preserve">    </w:t>
            </w:r>
          </w:p>
          <w:p w14:paraId="0418BCB2"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 xml:space="preserve">      %</w:t>
            </w:r>
          </w:p>
        </w:tc>
        <w:tc>
          <w:tcPr>
            <w:tcW w:w="1187" w:type="dxa"/>
            <w:tcBorders>
              <w:top w:val="single" w:sz="4" w:space="0" w:color="auto"/>
              <w:left w:val="single" w:sz="4" w:space="0" w:color="auto"/>
              <w:bottom w:val="single" w:sz="4" w:space="0" w:color="auto"/>
              <w:right w:val="single" w:sz="4" w:space="0" w:color="auto"/>
            </w:tcBorders>
            <w:vAlign w:val="center"/>
          </w:tcPr>
          <w:p w14:paraId="440BA83E"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107,70</w:t>
            </w:r>
          </w:p>
        </w:tc>
        <w:tc>
          <w:tcPr>
            <w:tcW w:w="1134" w:type="dxa"/>
            <w:tcBorders>
              <w:top w:val="single" w:sz="4" w:space="0" w:color="auto"/>
              <w:left w:val="single" w:sz="4" w:space="0" w:color="auto"/>
              <w:bottom w:val="single" w:sz="4" w:space="0" w:color="auto"/>
              <w:right w:val="single" w:sz="4" w:space="0" w:color="auto"/>
            </w:tcBorders>
            <w:vAlign w:val="center"/>
          </w:tcPr>
          <w:p w14:paraId="0E42397A"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lang w:eastAsia="en-US"/>
              </w:rPr>
            </w:pPr>
            <w:r w:rsidRPr="00B66512">
              <w:rPr>
                <w:rFonts w:ascii="Times New Roman CYR" w:hAnsi="Times New Roman CYR" w:cs="Times New Roman CYR"/>
                <w:color w:val="000000"/>
                <w:sz w:val="20"/>
                <w:lang w:eastAsia="en-US"/>
              </w:rPr>
              <w:t>107,94</w:t>
            </w:r>
          </w:p>
        </w:tc>
        <w:tc>
          <w:tcPr>
            <w:tcW w:w="1275" w:type="dxa"/>
            <w:tcBorders>
              <w:top w:val="single" w:sz="4" w:space="0" w:color="auto"/>
              <w:left w:val="single" w:sz="4" w:space="0" w:color="auto"/>
              <w:bottom w:val="single" w:sz="4" w:space="0" w:color="auto"/>
              <w:right w:val="single" w:sz="4" w:space="0" w:color="auto"/>
            </w:tcBorders>
            <w:vAlign w:val="center"/>
          </w:tcPr>
          <w:p w14:paraId="1DA3C6D4"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lang w:eastAsia="en-US"/>
              </w:rPr>
            </w:pPr>
            <w:r w:rsidRPr="00B66512">
              <w:rPr>
                <w:rFonts w:ascii="Times New Roman CYR" w:hAnsi="Times New Roman CYR" w:cs="Times New Roman CYR"/>
                <w:color w:val="000000"/>
                <w:sz w:val="20"/>
                <w:lang w:eastAsia="en-US"/>
              </w:rPr>
              <w:t>103,66</w:t>
            </w:r>
          </w:p>
        </w:tc>
        <w:tc>
          <w:tcPr>
            <w:tcW w:w="1276" w:type="dxa"/>
            <w:tcBorders>
              <w:top w:val="single" w:sz="4" w:space="0" w:color="auto"/>
              <w:left w:val="single" w:sz="4" w:space="0" w:color="auto"/>
              <w:bottom w:val="single" w:sz="4" w:space="0" w:color="auto"/>
              <w:right w:val="single" w:sz="4" w:space="0" w:color="auto"/>
            </w:tcBorders>
            <w:vAlign w:val="center"/>
          </w:tcPr>
          <w:p w14:paraId="2F0F6DC3"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lang w:eastAsia="en-US"/>
              </w:rPr>
            </w:pPr>
            <w:r w:rsidRPr="00B66512">
              <w:rPr>
                <w:rFonts w:ascii="Times New Roman CYR" w:hAnsi="Times New Roman CYR" w:cs="Times New Roman CYR"/>
                <w:color w:val="000000"/>
                <w:sz w:val="20"/>
                <w:lang w:eastAsia="en-US"/>
              </w:rPr>
              <w:t>105,35</w:t>
            </w:r>
          </w:p>
        </w:tc>
        <w:tc>
          <w:tcPr>
            <w:tcW w:w="1276" w:type="dxa"/>
            <w:tcBorders>
              <w:top w:val="single" w:sz="4" w:space="0" w:color="auto"/>
              <w:left w:val="single" w:sz="4" w:space="0" w:color="auto"/>
              <w:bottom w:val="single" w:sz="4" w:space="0" w:color="auto"/>
              <w:right w:val="single" w:sz="4" w:space="0" w:color="auto"/>
            </w:tcBorders>
            <w:vAlign w:val="center"/>
          </w:tcPr>
          <w:p w14:paraId="7DF294E6"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lang w:eastAsia="en-US"/>
              </w:rPr>
            </w:pPr>
            <w:r w:rsidRPr="00B66512">
              <w:rPr>
                <w:rFonts w:ascii="Times New Roman CYR" w:hAnsi="Times New Roman CYR" w:cs="Times New Roman CYR"/>
                <w:color w:val="000000"/>
                <w:sz w:val="20"/>
                <w:lang w:eastAsia="en-US"/>
              </w:rPr>
              <w:t>104,25</w:t>
            </w:r>
          </w:p>
        </w:tc>
        <w:tc>
          <w:tcPr>
            <w:tcW w:w="1276" w:type="dxa"/>
            <w:tcBorders>
              <w:top w:val="single" w:sz="4" w:space="0" w:color="auto"/>
              <w:left w:val="single" w:sz="4" w:space="0" w:color="auto"/>
              <w:bottom w:val="single" w:sz="4" w:space="0" w:color="auto"/>
            </w:tcBorders>
            <w:vAlign w:val="center"/>
          </w:tcPr>
          <w:p w14:paraId="5E472B32" w14:textId="77777777" w:rsidR="004B630E" w:rsidRPr="00B66512" w:rsidRDefault="004B630E" w:rsidP="004B630E">
            <w:pPr>
              <w:autoSpaceDE w:val="0"/>
              <w:autoSpaceDN w:val="0"/>
              <w:adjustRightInd w:val="0"/>
              <w:jc w:val="center"/>
              <w:rPr>
                <w:rFonts w:ascii="Times New Roman CYR" w:hAnsi="Times New Roman CYR" w:cs="Times New Roman CYR"/>
                <w:color w:val="000000"/>
                <w:sz w:val="20"/>
                <w:lang w:eastAsia="en-US"/>
              </w:rPr>
            </w:pPr>
            <w:r w:rsidRPr="00B66512">
              <w:rPr>
                <w:rFonts w:ascii="Times New Roman CYR" w:hAnsi="Times New Roman CYR" w:cs="Times New Roman CYR"/>
                <w:color w:val="000000"/>
                <w:sz w:val="20"/>
                <w:lang w:eastAsia="en-US"/>
              </w:rPr>
              <w:t>103,68</w:t>
            </w:r>
          </w:p>
        </w:tc>
      </w:tr>
      <w:tr w:rsidR="004B630E" w:rsidRPr="00B66512" w14:paraId="50D597C7" w14:textId="77777777" w:rsidTr="00F848E9">
        <w:tc>
          <w:tcPr>
            <w:tcW w:w="1607" w:type="dxa"/>
            <w:tcBorders>
              <w:top w:val="single" w:sz="4" w:space="0" w:color="auto"/>
              <w:bottom w:val="single" w:sz="4" w:space="0" w:color="auto"/>
              <w:right w:val="single" w:sz="4" w:space="0" w:color="auto"/>
            </w:tcBorders>
          </w:tcPr>
          <w:p w14:paraId="1FDB081A"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Cs w:val="24"/>
                <w:lang w:eastAsia="en-US"/>
              </w:rPr>
              <w:t>Обеспеченность торговой площадью на 1000 жителей</w:t>
            </w:r>
          </w:p>
        </w:tc>
        <w:tc>
          <w:tcPr>
            <w:tcW w:w="1142" w:type="dxa"/>
            <w:tcBorders>
              <w:top w:val="single" w:sz="4" w:space="0" w:color="auto"/>
              <w:left w:val="single" w:sz="4" w:space="0" w:color="auto"/>
              <w:bottom w:val="single" w:sz="4" w:space="0" w:color="auto"/>
              <w:right w:val="single" w:sz="4" w:space="0" w:color="auto"/>
            </w:tcBorders>
          </w:tcPr>
          <w:p w14:paraId="30D28D83"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кв. метр на 1000</w:t>
            </w:r>
          </w:p>
          <w:p w14:paraId="188B99AF"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Cs w:val="24"/>
                <w:lang w:eastAsia="en-US"/>
              </w:rPr>
              <w:t>человек</w:t>
            </w:r>
          </w:p>
        </w:tc>
        <w:tc>
          <w:tcPr>
            <w:tcW w:w="1187" w:type="dxa"/>
            <w:tcBorders>
              <w:top w:val="single" w:sz="4" w:space="0" w:color="auto"/>
              <w:left w:val="single" w:sz="4" w:space="0" w:color="auto"/>
              <w:bottom w:val="single" w:sz="4" w:space="0" w:color="auto"/>
              <w:right w:val="single" w:sz="4" w:space="0" w:color="auto"/>
            </w:tcBorders>
            <w:vAlign w:val="center"/>
          </w:tcPr>
          <w:p w14:paraId="3E937FCD"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742,63</w:t>
            </w:r>
          </w:p>
          <w:p w14:paraId="3B9AC246"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B1BD95D"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749,01</w:t>
            </w:r>
          </w:p>
        </w:tc>
        <w:tc>
          <w:tcPr>
            <w:tcW w:w="1275" w:type="dxa"/>
            <w:tcBorders>
              <w:top w:val="single" w:sz="4" w:space="0" w:color="auto"/>
              <w:left w:val="single" w:sz="4" w:space="0" w:color="auto"/>
              <w:bottom w:val="single" w:sz="4" w:space="0" w:color="auto"/>
              <w:right w:val="single" w:sz="4" w:space="0" w:color="auto"/>
            </w:tcBorders>
            <w:vAlign w:val="center"/>
          </w:tcPr>
          <w:p w14:paraId="366E87C6"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14:paraId="495B793E"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14:paraId="55470FD8"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Х</w:t>
            </w:r>
          </w:p>
        </w:tc>
        <w:tc>
          <w:tcPr>
            <w:tcW w:w="1276" w:type="dxa"/>
            <w:tcBorders>
              <w:top w:val="single" w:sz="4" w:space="0" w:color="auto"/>
              <w:left w:val="single" w:sz="4" w:space="0" w:color="auto"/>
              <w:bottom w:val="single" w:sz="4" w:space="0" w:color="auto"/>
            </w:tcBorders>
            <w:vAlign w:val="center"/>
          </w:tcPr>
          <w:p w14:paraId="2237C6E2"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Х</w:t>
            </w:r>
          </w:p>
        </w:tc>
      </w:tr>
      <w:tr w:rsidR="004B630E" w:rsidRPr="00B66512" w14:paraId="575A7C83" w14:textId="77777777" w:rsidTr="00F848E9">
        <w:tc>
          <w:tcPr>
            <w:tcW w:w="1607" w:type="dxa"/>
            <w:tcBorders>
              <w:top w:val="single" w:sz="4" w:space="0" w:color="auto"/>
              <w:bottom w:val="single" w:sz="4" w:space="0" w:color="auto"/>
              <w:right w:val="single" w:sz="4" w:space="0" w:color="auto"/>
            </w:tcBorders>
          </w:tcPr>
          <w:p w14:paraId="2D2C98AB"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Темп роста</w:t>
            </w:r>
          </w:p>
        </w:tc>
        <w:tc>
          <w:tcPr>
            <w:tcW w:w="1142" w:type="dxa"/>
            <w:tcBorders>
              <w:top w:val="single" w:sz="4" w:space="0" w:color="auto"/>
              <w:left w:val="single" w:sz="4" w:space="0" w:color="auto"/>
              <w:bottom w:val="single" w:sz="4" w:space="0" w:color="auto"/>
              <w:right w:val="single" w:sz="4" w:space="0" w:color="auto"/>
            </w:tcBorders>
          </w:tcPr>
          <w:p w14:paraId="22E996C3"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 xml:space="preserve">     %</w:t>
            </w:r>
          </w:p>
        </w:tc>
        <w:tc>
          <w:tcPr>
            <w:tcW w:w="1187" w:type="dxa"/>
            <w:tcBorders>
              <w:top w:val="single" w:sz="4" w:space="0" w:color="auto"/>
              <w:left w:val="single" w:sz="4" w:space="0" w:color="auto"/>
              <w:bottom w:val="single" w:sz="4" w:space="0" w:color="auto"/>
              <w:right w:val="single" w:sz="4" w:space="0" w:color="auto"/>
            </w:tcBorders>
            <w:vAlign w:val="center"/>
          </w:tcPr>
          <w:p w14:paraId="76498AFB"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91,65</w:t>
            </w:r>
          </w:p>
        </w:tc>
        <w:tc>
          <w:tcPr>
            <w:tcW w:w="1134" w:type="dxa"/>
            <w:tcBorders>
              <w:top w:val="single" w:sz="4" w:space="0" w:color="auto"/>
              <w:left w:val="single" w:sz="4" w:space="0" w:color="auto"/>
              <w:bottom w:val="single" w:sz="4" w:space="0" w:color="auto"/>
              <w:right w:val="single" w:sz="4" w:space="0" w:color="auto"/>
            </w:tcBorders>
            <w:vAlign w:val="center"/>
          </w:tcPr>
          <w:p w14:paraId="7E65BEB5"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100,86</w:t>
            </w:r>
          </w:p>
        </w:tc>
        <w:tc>
          <w:tcPr>
            <w:tcW w:w="1275" w:type="dxa"/>
            <w:tcBorders>
              <w:top w:val="single" w:sz="4" w:space="0" w:color="auto"/>
              <w:left w:val="single" w:sz="4" w:space="0" w:color="auto"/>
              <w:bottom w:val="single" w:sz="4" w:space="0" w:color="auto"/>
              <w:right w:val="single" w:sz="4" w:space="0" w:color="auto"/>
            </w:tcBorders>
            <w:vAlign w:val="center"/>
          </w:tcPr>
          <w:p w14:paraId="20522BF4"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B6CEF68"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D29325C"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Х</w:t>
            </w:r>
          </w:p>
        </w:tc>
        <w:tc>
          <w:tcPr>
            <w:tcW w:w="1276" w:type="dxa"/>
            <w:tcBorders>
              <w:top w:val="single" w:sz="4" w:space="0" w:color="auto"/>
              <w:left w:val="single" w:sz="4" w:space="0" w:color="auto"/>
              <w:bottom w:val="single" w:sz="4" w:space="0" w:color="auto"/>
            </w:tcBorders>
            <w:vAlign w:val="center"/>
          </w:tcPr>
          <w:p w14:paraId="607DDB7F"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Х</w:t>
            </w:r>
          </w:p>
        </w:tc>
      </w:tr>
      <w:tr w:rsidR="004B630E" w:rsidRPr="00B66512" w14:paraId="6C98CA86" w14:textId="77777777" w:rsidTr="00F848E9">
        <w:tc>
          <w:tcPr>
            <w:tcW w:w="1607" w:type="dxa"/>
            <w:tcBorders>
              <w:top w:val="single" w:sz="4" w:space="0" w:color="auto"/>
              <w:bottom w:val="single" w:sz="4" w:space="0" w:color="auto"/>
              <w:right w:val="single" w:sz="4" w:space="0" w:color="auto"/>
            </w:tcBorders>
          </w:tcPr>
          <w:p w14:paraId="4567A493"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Оборот розничной торговли в среднем в расчете на душу населения</w:t>
            </w:r>
          </w:p>
        </w:tc>
        <w:tc>
          <w:tcPr>
            <w:tcW w:w="1142" w:type="dxa"/>
            <w:tcBorders>
              <w:top w:val="single" w:sz="4" w:space="0" w:color="auto"/>
              <w:left w:val="single" w:sz="4" w:space="0" w:color="auto"/>
              <w:bottom w:val="single" w:sz="4" w:space="0" w:color="auto"/>
              <w:right w:val="single" w:sz="4" w:space="0" w:color="auto"/>
            </w:tcBorders>
          </w:tcPr>
          <w:p w14:paraId="34218653"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p>
          <w:p w14:paraId="052AFFB7"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тыс. рублей</w:t>
            </w:r>
          </w:p>
        </w:tc>
        <w:tc>
          <w:tcPr>
            <w:tcW w:w="1187" w:type="dxa"/>
            <w:tcBorders>
              <w:top w:val="single" w:sz="4" w:space="0" w:color="auto"/>
              <w:left w:val="single" w:sz="4" w:space="0" w:color="auto"/>
              <w:bottom w:val="single" w:sz="4" w:space="0" w:color="auto"/>
              <w:right w:val="single" w:sz="4" w:space="0" w:color="auto"/>
            </w:tcBorders>
            <w:vAlign w:val="center"/>
          </w:tcPr>
          <w:p w14:paraId="5DA0AFA0"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72,67</w:t>
            </w:r>
          </w:p>
        </w:tc>
        <w:tc>
          <w:tcPr>
            <w:tcW w:w="1134" w:type="dxa"/>
            <w:tcBorders>
              <w:top w:val="single" w:sz="4" w:space="0" w:color="auto"/>
              <w:left w:val="single" w:sz="4" w:space="0" w:color="auto"/>
              <w:bottom w:val="single" w:sz="4" w:space="0" w:color="auto"/>
              <w:right w:val="single" w:sz="4" w:space="0" w:color="auto"/>
            </w:tcBorders>
            <w:vAlign w:val="center"/>
          </w:tcPr>
          <w:p w14:paraId="787E640A"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82,63</w:t>
            </w:r>
          </w:p>
        </w:tc>
        <w:tc>
          <w:tcPr>
            <w:tcW w:w="1275" w:type="dxa"/>
            <w:tcBorders>
              <w:top w:val="single" w:sz="4" w:space="0" w:color="auto"/>
              <w:left w:val="single" w:sz="4" w:space="0" w:color="auto"/>
              <w:bottom w:val="single" w:sz="4" w:space="0" w:color="auto"/>
              <w:right w:val="single" w:sz="4" w:space="0" w:color="auto"/>
            </w:tcBorders>
            <w:vAlign w:val="center"/>
          </w:tcPr>
          <w:p w14:paraId="23D0C873"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96,82</w:t>
            </w:r>
          </w:p>
        </w:tc>
        <w:tc>
          <w:tcPr>
            <w:tcW w:w="1276" w:type="dxa"/>
            <w:tcBorders>
              <w:top w:val="single" w:sz="4" w:space="0" w:color="auto"/>
              <w:left w:val="single" w:sz="4" w:space="0" w:color="auto"/>
              <w:bottom w:val="single" w:sz="4" w:space="0" w:color="auto"/>
              <w:right w:val="single" w:sz="4" w:space="0" w:color="auto"/>
            </w:tcBorders>
            <w:vAlign w:val="center"/>
          </w:tcPr>
          <w:p w14:paraId="1BA69E26"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108,52</w:t>
            </w:r>
          </w:p>
        </w:tc>
        <w:tc>
          <w:tcPr>
            <w:tcW w:w="1276" w:type="dxa"/>
            <w:tcBorders>
              <w:top w:val="single" w:sz="4" w:space="0" w:color="auto"/>
              <w:left w:val="single" w:sz="4" w:space="0" w:color="auto"/>
              <w:bottom w:val="single" w:sz="4" w:space="0" w:color="auto"/>
              <w:right w:val="single" w:sz="4" w:space="0" w:color="auto"/>
            </w:tcBorders>
            <w:vAlign w:val="center"/>
          </w:tcPr>
          <w:p w14:paraId="620DDE63"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119,82</w:t>
            </w:r>
          </w:p>
        </w:tc>
        <w:tc>
          <w:tcPr>
            <w:tcW w:w="1276" w:type="dxa"/>
            <w:tcBorders>
              <w:top w:val="single" w:sz="4" w:space="0" w:color="auto"/>
              <w:left w:val="single" w:sz="4" w:space="0" w:color="auto"/>
              <w:bottom w:val="single" w:sz="4" w:space="0" w:color="auto"/>
            </w:tcBorders>
            <w:vAlign w:val="center"/>
          </w:tcPr>
          <w:p w14:paraId="491959DA"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131,38</w:t>
            </w:r>
          </w:p>
        </w:tc>
      </w:tr>
      <w:tr w:rsidR="004B630E" w:rsidRPr="00B66512" w14:paraId="28B43967" w14:textId="77777777" w:rsidTr="00F848E9">
        <w:tc>
          <w:tcPr>
            <w:tcW w:w="1607" w:type="dxa"/>
            <w:tcBorders>
              <w:top w:val="single" w:sz="4" w:space="0" w:color="auto"/>
              <w:bottom w:val="single" w:sz="4" w:space="0" w:color="auto"/>
              <w:right w:val="single" w:sz="4" w:space="0" w:color="auto"/>
            </w:tcBorders>
          </w:tcPr>
          <w:p w14:paraId="3C9E57B6" w14:textId="77777777" w:rsidR="004B630E" w:rsidRPr="00B66512" w:rsidRDefault="004B630E" w:rsidP="004B630E">
            <w:pPr>
              <w:autoSpaceDE w:val="0"/>
              <w:autoSpaceDN w:val="0"/>
              <w:adjustRightInd w:val="0"/>
              <w:spacing w:after="0" w:line="240" w:lineRule="auto"/>
              <w:jc w:val="both"/>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Темп роста в действующих ценах</w:t>
            </w:r>
          </w:p>
        </w:tc>
        <w:tc>
          <w:tcPr>
            <w:tcW w:w="1142" w:type="dxa"/>
            <w:tcBorders>
              <w:top w:val="single" w:sz="4" w:space="0" w:color="auto"/>
              <w:left w:val="single" w:sz="4" w:space="0" w:color="auto"/>
              <w:bottom w:val="single" w:sz="4" w:space="0" w:color="auto"/>
              <w:right w:val="single" w:sz="4" w:space="0" w:color="auto"/>
            </w:tcBorders>
          </w:tcPr>
          <w:p w14:paraId="2197C3A6" w14:textId="77777777" w:rsidR="004B630E" w:rsidRPr="00B66512" w:rsidRDefault="004B630E" w:rsidP="004B630E">
            <w:pPr>
              <w:autoSpaceDE w:val="0"/>
              <w:autoSpaceDN w:val="0"/>
              <w:adjustRightInd w:val="0"/>
              <w:spacing w:after="0" w:line="240" w:lineRule="auto"/>
              <w:rPr>
                <w:rFonts w:ascii="Times New Roman CYR" w:hAnsi="Times New Roman CYR" w:cs="Times New Roman CYR"/>
                <w:szCs w:val="24"/>
                <w:lang w:eastAsia="en-US"/>
              </w:rPr>
            </w:pPr>
            <w:r w:rsidRPr="00B66512">
              <w:rPr>
                <w:rFonts w:ascii="Times New Roman CYR" w:hAnsi="Times New Roman CYR" w:cs="Times New Roman CYR"/>
                <w:szCs w:val="24"/>
                <w:lang w:eastAsia="en-US"/>
              </w:rPr>
              <w:t xml:space="preserve">     %</w:t>
            </w:r>
          </w:p>
        </w:tc>
        <w:tc>
          <w:tcPr>
            <w:tcW w:w="1187" w:type="dxa"/>
            <w:tcBorders>
              <w:top w:val="single" w:sz="4" w:space="0" w:color="auto"/>
              <w:left w:val="single" w:sz="4" w:space="0" w:color="auto"/>
              <w:bottom w:val="single" w:sz="4" w:space="0" w:color="auto"/>
              <w:right w:val="single" w:sz="4" w:space="0" w:color="auto"/>
            </w:tcBorders>
            <w:vAlign w:val="center"/>
          </w:tcPr>
          <w:p w14:paraId="56398BAC"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114,23</w:t>
            </w:r>
          </w:p>
        </w:tc>
        <w:tc>
          <w:tcPr>
            <w:tcW w:w="1134" w:type="dxa"/>
            <w:tcBorders>
              <w:top w:val="single" w:sz="4" w:space="0" w:color="auto"/>
              <w:left w:val="single" w:sz="4" w:space="0" w:color="auto"/>
              <w:bottom w:val="single" w:sz="4" w:space="0" w:color="auto"/>
              <w:right w:val="single" w:sz="4" w:space="0" w:color="auto"/>
            </w:tcBorders>
            <w:vAlign w:val="center"/>
          </w:tcPr>
          <w:p w14:paraId="78B0338D"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113,71</w:t>
            </w:r>
          </w:p>
        </w:tc>
        <w:tc>
          <w:tcPr>
            <w:tcW w:w="1275" w:type="dxa"/>
            <w:tcBorders>
              <w:top w:val="single" w:sz="4" w:space="0" w:color="auto"/>
              <w:left w:val="single" w:sz="4" w:space="0" w:color="auto"/>
              <w:bottom w:val="single" w:sz="4" w:space="0" w:color="auto"/>
              <w:right w:val="single" w:sz="4" w:space="0" w:color="auto"/>
            </w:tcBorders>
            <w:vAlign w:val="center"/>
          </w:tcPr>
          <w:p w14:paraId="1AB6A1E9"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117,17</w:t>
            </w:r>
          </w:p>
        </w:tc>
        <w:tc>
          <w:tcPr>
            <w:tcW w:w="1276" w:type="dxa"/>
            <w:tcBorders>
              <w:top w:val="single" w:sz="4" w:space="0" w:color="auto"/>
              <w:left w:val="single" w:sz="4" w:space="0" w:color="auto"/>
              <w:bottom w:val="single" w:sz="4" w:space="0" w:color="auto"/>
              <w:right w:val="single" w:sz="4" w:space="0" w:color="auto"/>
            </w:tcBorders>
            <w:vAlign w:val="center"/>
          </w:tcPr>
          <w:p w14:paraId="6B6E1A85"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112,08</w:t>
            </w:r>
          </w:p>
        </w:tc>
        <w:tc>
          <w:tcPr>
            <w:tcW w:w="1276" w:type="dxa"/>
            <w:tcBorders>
              <w:top w:val="single" w:sz="4" w:space="0" w:color="auto"/>
              <w:left w:val="single" w:sz="4" w:space="0" w:color="auto"/>
              <w:bottom w:val="single" w:sz="4" w:space="0" w:color="auto"/>
              <w:right w:val="single" w:sz="4" w:space="0" w:color="auto"/>
            </w:tcBorders>
            <w:vAlign w:val="center"/>
          </w:tcPr>
          <w:p w14:paraId="79FC46F7"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110,41</w:t>
            </w:r>
          </w:p>
        </w:tc>
        <w:tc>
          <w:tcPr>
            <w:tcW w:w="1276" w:type="dxa"/>
            <w:tcBorders>
              <w:top w:val="single" w:sz="4" w:space="0" w:color="auto"/>
              <w:left w:val="single" w:sz="4" w:space="0" w:color="auto"/>
              <w:bottom w:val="single" w:sz="4" w:space="0" w:color="auto"/>
            </w:tcBorders>
            <w:vAlign w:val="center"/>
          </w:tcPr>
          <w:p w14:paraId="5E3B6C3D" w14:textId="77777777" w:rsidR="004B630E" w:rsidRPr="00B66512" w:rsidRDefault="004B630E" w:rsidP="004B630E">
            <w:pPr>
              <w:autoSpaceDE w:val="0"/>
              <w:autoSpaceDN w:val="0"/>
              <w:adjustRightInd w:val="0"/>
              <w:spacing w:after="0" w:line="240" w:lineRule="auto"/>
              <w:jc w:val="center"/>
              <w:rPr>
                <w:rFonts w:ascii="Times New Roman CYR" w:hAnsi="Times New Roman CYR" w:cs="Times New Roman CYR"/>
                <w:sz w:val="20"/>
                <w:lang w:eastAsia="en-US"/>
              </w:rPr>
            </w:pPr>
            <w:r w:rsidRPr="00B66512">
              <w:rPr>
                <w:rFonts w:ascii="Times New Roman CYR" w:hAnsi="Times New Roman CYR" w:cs="Times New Roman CYR"/>
                <w:sz w:val="20"/>
                <w:lang w:eastAsia="en-US"/>
              </w:rPr>
              <w:t>109,65</w:t>
            </w:r>
          </w:p>
        </w:tc>
      </w:tr>
    </w:tbl>
    <w:p w14:paraId="250AE4B5" w14:textId="77777777" w:rsidR="004B630E" w:rsidRPr="00B66512" w:rsidRDefault="004B630E" w:rsidP="004B630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В районе оборот розничной торговли формируется, в основном, за счет субъектов малого предпринимательства, осуществляющих деятельность на территории района. Товарная насыщенность в магазинах обеспечивает спрос населения в товарах, как местных производителей, так и производителей из других регионов.</w:t>
      </w:r>
    </w:p>
    <w:p w14:paraId="2DF4C7C0" w14:textId="77777777" w:rsidR="004B630E" w:rsidRPr="00B66512" w:rsidRDefault="004B630E" w:rsidP="004B630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 2023 году по району произошло увеличение оборота розничной торговли в действующих ценах. Его величина составила 1 095 836,8  тыс. руб., темп роста 107,94% к соответствующему периоду прошлого года. По оценке 2024 года планируется увеличение оборота розничной торговли в сумме 1 262 045,40 тыс. рублей, темп роста к 2023 году 103,66%. Прогноз на 2025 год – темп роста 105,35% к уровню 2024 года и составит 1 388 032,90 тыс. рублей, в 2026 году – темп роста 104,25% к уровню 2025 года и составит 1 503 458,30. рублей, в 2027 году – темп роста 103,68%  к уровню 2026 года и составит 1 617 953,20 тыс. рублей. </w:t>
      </w:r>
    </w:p>
    <w:p w14:paraId="229FDBFB" w14:textId="77777777" w:rsidR="004B630E" w:rsidRPr="00B66512" w:rsidRDefault="004B630E" w:rsidP="004B630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Основной задачей развития потребительского рынка является обеспечение доступности товаров и услуг для населения. Обеспеченность торговой площадью на 1000 человек в 2023 году составила 749,01 кв. м. По </w:t>
      </w:r>
      <w:r w:rsidRPr="00B66512">
        <w:rPr>
          <w:rFonts w:ascii="Times New Roman CYR" w:hAnsi="Times New Roman CYR" w:cs="Times New Roman CYR"/>
          <w:sz w:val="28"/>
          <w:szCs w:val="28"/>
        </w:rPr>
        <w:lastRenderedPageBreak/>
        <w:t>сравнению с показателем 2022 года обеспеченность торговой площадью на 1000 жителей увеличилась на 0,86% по причине открытия 3 объектов.</w:t>
      </w:r>
    </w:p>
    <w:p w14:paraId="69C6EDBE" w14:textId="77777777" w:rsidR="00A1601E" w:rsidRPr="00B66512" w:rsidRDefault="004B630E" w:rsidP="004B630E">
      <w:pPr>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 среднесрочной перспективе ожидается, что динамика и изменение структуры оборота розничной торговли будут характеризоваться такими же тенденциями: сдержанного роста доходов населения; незначительного снижения склонности населения к сбережению; сохранению кредитования банками покупки населением товаров длительного пользования. 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 развитие конкурентной среды, повышение качества и безопасности товаров. </w:t>
      </w:r>
    </w:p>
    <w:p w14:paraId="0F9B8FC2" w14:textId="77777777" w:rsidR="00500B80" w:rsidRPr="00B66512" w:rsidRDefault="00500B80">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5DE6B102"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12. Платные услуги населению</w:t>
      </w:r>
    </w:p>
    <w:p w14:paraId="76218805"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7F6C100A" w14:textId="77777777" w:rsidR="008648ED" w:rsidRPr="00B66512" w:rsidRDefault="008648ED" w:rsidP="008648ED">
      <w:pPr>
        <w:autoSpaceDE w:val="0"/>
        <w:autoSpaceDN w:val="0"/>
        <w:adjustRightInd w:val="0"/>
        <w:spacing w:after="0" w:line="240" w:lineRule="auto"/>
        <w:ind w:firstLine="720"/>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Состояние торговли определяется платёжеспособным спросом, структурой потребительских предпочтений, ожиданиями населения и имеют прямую зависимость от экономической ситуации в стране и регионе.</w:t>
      </w:r>
    </w:p>
    <w:p w14:paraId="6FB042F2"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sz w:val="28"/>
          <w:szCs w:val="28"/>
        </w:rPr>
      </w:pPr>
      <w:r w:rsidRPr="00B66512">
        <w:rPr>
          <w:rFonts w:ascii="Times New Roman" w:hAnsi="Times New Roman"/>
          <w:sz w:val="28"/>
          <w:szCs w:val="28"/>
        </w:rPr>
        <w:t>Потребительский рынок является одним из важных секторов жизнеобеспечения, а также источником занятости населения и пополнения бюджета района.</w:t>
      </w:r>
    </w:p>
    <w:p w14:paraId="58052CBB"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sz w:val="28"/>
          <w:szCs w:val="28"/>
        </w:rPr>
        <w:t xml:space="preserve">В 2023 году (2 вариант) вырастет потребительская активность населения, за счет роста реальных </w:t>
      </w:r>
      <w:r w:rsidRPr="00B66512">
        <w:rPr>
          <w:rFonts w:ascii="Times New Roman" w:hAnsi="Times New Roman"/>
          <w:bCs/>
          <w:sz w:val="28"/>
          <w:szCs w:val="28"/>
        </w:rPr>
        <w:t>располагаемых доходов населения и реальной заработной платы.</w:t>
      </w:r>
    </w:p>
    <w:p w14:paraId="5991F4A6"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Платные услуги являются важной частью в структуре расходов населения.  По доле платных услуг в структуре валовых расходов на душу населения, МО «Каратузский район»  занимает четвертое место из семи  муниципальных районов Юга Красноярского края. Это происходит по причине невысокого уровня доходов населения и большой доли в них затрат на продукты питания. Ожидается, что с увеличением доходов, доля расходов на продовольствие будет снижаться, а доля расходов на платные услуги увеличиваться.</w:t>
      </w:r>
    </w:p>
    <w:p w14:paraId="4F6361AA"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Количество объектов бытового обслуживания населения, оказывающих услуги в 2023 году  составило 42, увеличение к уровню 2022 года на 1 ед. (увеличение в связи с открытием объекта по ремонту мебели).</w:t>
      </w:r>
    </w:p>
    <w:p w14:paraId="32A69D09"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xml:space="preserve">Наибольшее количество объектов бытового обслуживания населения, приходится на хозяйствующие субъекты малого предпринимательства, оказывающих  услуги по ремонту и строительству жилья и других построек – 9, оказывающих услуги по техническому обслуживанию и ремонту транспортных средств, машин и оборудования – 8 ,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6, парикмахерские услуги – 6, оказывающих услуги по изготовлению и ремонту мебели - 4. Количество объектов бытового обслуживания населения, </w:t>
      </w:r>
      <w:r w:rsidRPr="00B66512">
        <w:rPr>
          <w:rFonts w:ascii="Times New Roman" w:hAnsi="Times New Roman"/>
          <w:bCs/>
          <w:sz w:val="28"/>
          <w:szCs w:val="28"/>
        </w:rPr>
        <w:lastRenderedPageBreak/>
        <w:t>оказывающих услуги по ремонту, окраске и пошиву обуви – 2. Предприятия, оказывающие гостиничные  услуги на территории района отсутствуют.</w:t>
      </w:r>
    </w:p>
    <w:p w14:paraId="3CE339C9" w14:textId="77777777" w:rsidR="008648ED"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За 2023 год населению Каратузского района оказано всех видов платных услуг на сумму 155 400,05 тыс. рублей, что в сопоставимых ценах составляет  105,21% это на 19643,25 тыс. рублей больше оказанного объема платных услуг прошлого года.</w:t>
      </w:r>
    </w:p>
    <w:p w14:paraId="742CB3DA" w14:textId="77777777" w:rsidR="008343F5" w:rsidRPr="00B66512" w:rsidRDefault="008343F5" w:rsidP="008648ED">
      <w:pPr>
        <w:autoSpaceDE w:val="0"/>
        <w:autoSpaceDN w:val="0"/>
        <w:adjustRightInd w:val="0"/>
        <w:spacing w:after="0" w:line="240" w:lineRule="auto"/>
        <w:ind w:firstLine="720"/>
        <w:jc w:val="both"/>
        <w:rPr>
          <w:rFonts w:ascii="Times New Roman" w:hAnsi="Times New Roman"/>
          <w:bCs/>
          <w:sz w:val="28"/>
          <w:szCs w:val="28"/>
        </w:rPr>
      </w:pPr>
    </w:p>
    <w:tbl>
      <w:tblPr>
        <w:tblW w:w="97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709"/>
        <w:gridCol w:w="1019"/>
        <w:gridCol w:w="1100"/>
        <w:gridCol w:w="1275"/>
        <w:gridCol w:w="1276"/>
        <w:gridCol w:w="1276"/>
        <w:gridCol w:w="1276"/>
        <w:gridCol w:w="18"/>
      </w:tblGrid>
      <w:tr w:rsidR="008648ED" w:rsidRPr="00B66512" w14:paraId="166D7D3A" w14:textId="77777777" w:rsidTr="00F848E9">
        <w:trPr>
          <w:trHeight w:val="180"/>
        </w:trPr>
        <w:tc>
          <w:tcPr>
            <w:tcW w:w="1843" w:type="dxa"/>
            <w:vMerge w:val="restart"/>
            <w:tcBorders>
              <w:top w:val="single" w:sz="4" w:space="0" w:color="auto"/>
              <w:bottom w:val="single" w:sz="4" w:space="0" w:color="auto"/>
              <w:right w:val="single" w:sz="4" w:space="0" w:color="auto"/>
            </w:tcBorders>
          </w:tcPr>
          <w:p w14:paraId="71FC983F"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p>
          <w:p w14:paraId="02699204"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Наименование показателей</w:t>
            </w:r>
          </w:p>
          <w:p w14:paraId="271350F0"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2B14C47C"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Ед.</w:t>
            </w:r>
          </w:p>
          <w:p w14:paraId="56C2837D"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изм.</w:t>
            </w:r>
          </w:p>
          <w:p w14:paraId="7F3B4652"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p>
        </w:tc>
        <w:tc>
          <w:tcPr>
            <w:tcW w:w="7240" w:type="dxa"/>
            <w:gridSpan w:val="7"/>
            <w:tcBorders>
              <w:top w:val="single" w:sz="4" w:space="0" w:color="auto"/>
              <w:left w:val="single" w:sz="4" w:space="0" w:color="auto"/>
              <w:bottom w:val="single" w:sz="4" w:space="0" w:color="auto"/>
            </w:tcBorders>
          </w:tcPr>
          <w:p w14:paraId="2005B7EB"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Годы</w:t>
            </w:r>
          </w:p>
        </w:tc>
      </w:tr>
      <w:tr w:rsidR="008648ED" w:rsidRPr="00B66512" w14:paraId="6CBBC8E7" w14:textId="77777777" w:rsidTr="00F848E9">
        <w:trPr>
          <w:gridAfter w:val="1"/>
          <w:wAfter w:w="18" w:type="dxa"/>
          <w:trHeight w:val="620"/>
        </w:trPr>
        <w:tc>
          <w:tcPr>
            <w:tcW w:w="1843" w:type="dxa"/>
            <w:vMerge/>
            <w:tcBorders>
              <w:top w:val="single" w:sz="4" w:space="0" w:color="auto"/>
              <w:bottom w:val="single" w:sz="4" w:space="0" w:color="auto"/>
              <w:right w:val="single" w:sz="4" w:space="0" w:color="auto"/>
            </w:tcBorders>
          </w:tcPr>
          <w:p w14:paraId="0169DF29"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tcPr>
          <w:p w14:paraId="55A2C723"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p>
        </w:tc>
        <w:tc>
          <w:tcPr>
            <w:tcW w:w="1019" w:type="dxa"/>
            <w:tcBorders>
              <w:top w:val="single" w:sz="4" w:space="0" w:color="auto"/>
              <w:left w:val="single" w:sz="4" w:space="0" w:color="auto"/>
              <w:bottom w:val="single" w:sz="4" w:space="0" w:color="auto"/>
              <w:right w:val="single" w:sz="4" w:space="0" w:color="auto"/>
            </w:tcBorders>
          </w:tcPr>
          <w:p w14:paraId="60BE801A"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2022</w:t>
            </w:r>
          </w:p>
          <w:p w14:paraId="07454A74"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отчет</w:t>
            </w:r>
          </w:p>
        </w:tc>
        <w:tc>
          <w:tcPr>
            <w:tcW w:w="1100" w:type="dxa"/>
            <w:tcBorders>
              <w:top w:val="single" w:sz="4" w:space="0" w:color="auto"/>
              <w:left w:val="single" w:sz="4" w:space="0" w:color="auto"/>
              <w:bottom w:val="single" w:sz="4" w:space="0" w:color="auto"/>
              <w:right w:val="single" w:sz="4" w:space="0" w:color="auto"/>
            </w:tcBorders>
          </w:tcPr>
          <w:p w14:paraId="0845F1ED"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2023</w:t>
            </w:r>
          </w:p>
          <w:p w14:paraId="7E5EC3E5"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отчет</w:t>
            </w:r>
          </w:p>
        </w:tc>
        <w:tc>
          <w:tcPr>
            <w:tcW w:w="1275" w:type="dxa"/>
            <w:tcBorders>
              <w:top w:val="single" w:sz="4" w:space="0" w:color="auto"/>
              <w:left w:val="single" w:sz="4" w:space="0" w:color="auto"/>
              <w:bottom w:val="single" w:sz="4" w:space="0" w:color="auto"/>
              <w:right w:val="single" w:sz="4" w:space="0" w:color="auto"/>
            </w:tcBorders>
          </w:tcPr>
          <w:p w14:paraId="148E2E3E"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2024</w:t>
            </w:r>
          </w:p>
          <w:p w14:paraId="2D90B25A"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оценка</w:t>
            </w:r>
          </w:p>
        </w:tc>
        <w:tc>
          <w:tcPr>
            <w:tcW w:w="1276" w:type="dxa"/>
            <w:tcBorders>
              <w:top w:val="single" w:sz="4" w:space="0" w:color="auto"/>
              <w:left w:val="single" w:sz="4" w:space="0" w:color="auto"/>
              <w:bottom w:val="single" w:sz="4" w:space="0" w:color="auto"/>
              <w:right w:val="single" w:sz="4" w:space="0" w:color="auto"/>
            </w:tcBorders>
          </w:tcPr>
          <w:p w14:paraId="2316F885"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2025</w:t>
            </w:r>
          </w:p>
          <w:p w14:paraId="4348C748"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p w14:paraId="5A11DB23"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 вариант</w:t>
            </w:r>
          </w:p>
        </w:tc>
        <w:tc>
          <w:tcPr>
            <w:tcW w:w="1276" w:type="dxa"/>
            <w:tcBorders>
              <w:top w:val="single" w:sz="4" w:space="0" w:color="auto"/>
              <w:left w:val="single" w:sz="4" w:space="0" w:color="auto"/>
              <w:bottom w:val="single" w:sz="4" w:space="0" w:color="auto"/>
              <w:right w:val="nil"/>
            </w:tcBorders>
          </w:tcPr>
          <w:p w14:paraId="7A10C094"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2026</w:t>
            </w:r>
          </w:p>
          <w:p w14:paraId="6FB8D90F"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p w14:paraId="216C18DA"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 вариант</w:t>
            </w:r>
          </w:p>
        </w:tc>
        <w:tc>
          <w:tcPr>
            <w:tcW w:w="1276" w:type="dxa"/>
            <w:tcBorders>
              <w:top w:val="single" w:sz="4" w:space="0" w:color="auto"/>
              <w:left w:val="single" w:sz="4" w:space="0" w:color="auto"/>
              <w:bottom w:val="single" w:sz="4" w:space="0" w:color="auto"/>
            </w:tcBorders>
          </w:tcPr>
          <w:p w14:paraId="4B02152C"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2027</w:t>
            </w:r>
          </w:p>
          <w:p w14:paraId="29F318BF"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p w14:paraId="6E09101B" w14:textId="77777777" w:rsidR="008648ED" w:rsidRPr="00B66512" w:rsidRDefault="008648ED" w:rsidP="008648ED">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 вариант</w:t>
            </w:r>
          </w:p>
        </w:tc>
      </w:tr>
      <w:tr w:rsidR="008648ED" w:rsidRPr="00B66512" w14:paraId="0D50F8BB" w14:textId="77777777" w:rsidTr="00F848E9">
        <w:trPr>
          <w:gridAfter w:val="1"/>
          <w:wAfter w:w="18" w:type="dxa"/>
          <w:trHeight w:val="414"/>
        </w:trPr>
        <w:tc>
          <w:tcPr>
            <w:tcW w:w="1843" w:type="dxa"/>
            <w:tcBorders>
              <w:top w:val="single" w:sz="4" w:space="0" w:color="auto"/>
              <w:bottom w:val="single" w:sz="4" w:space="0" w:color="auto"/>
              <w:right w:val="single" w:sz="4" w:space="0" w:color="auto"/>
            </w:tcBorders>
          </w:tcPr>
          <w:p w14:paraId="7B1731BD"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Оборот реализации платных услуг населению</w:t>
            </w:r>
          </w:p>
        </w:tc>
        <w:tc>
          <w:tcPr>
            <w:tcW w:w="709" w:type="dxa"/>
            <w:tcBorders>
              <w:top w:val="single" w:sz="4" w:space="0" w:color="auto"/>
              <w:left w:val="single" w:sz="4" w:space="0" w:color="auto"/>
              <w:bottom w:val="single" w:sz="4" w:space="0" w:color="auto"/>
              <w:right w:val="single" w:sz="4" w:space="0" w:color="auto"/>
            </w:tcBorders>
          </w:tcPr>
          <w:p w14:paraId="43DC082F"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тыс. руб.</w:t>
            </w:r>
          </w:p>
        </w:tc>
        <w:tc>
          <w:tcPr>
            <w:tcW w:w="1019" w:type="dxa"/>
            <w:tcBorders>
              <w:top w:val="single" w:sz="4" w:space="0" w:color="auto"/>
              <w:left w:val="single" w:sz="4" w:space="0" w:color="auto"/>
              <w:bottom w:val="single" w:sz="4" w:space="0" w:color="auto"/>
              <w:right w:val="single" w:sz="4" w:space="0" w:color="auto"/>
            </w:tcBorders>
            <w:vAlign w:val="center"/>
          </w:tcPr>
          <w:p w14:paraId="6B32DBE6"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135756,80</w:t>
            </w:r>
          </w:p>
        </w:tc>
        <w:tc>
          <w:tcPr>
            <w:tcW w:w="1100" w:type="dxa"/>
            <w:tcBorders>
              <w:top w:val="single" w:sz="4" w:space="0" w:color="auto"/>
              <w:left w:val="single" w:sz="4" w:space="0" w:color="auto"/>
              <w:bottom w:val="single" w:sz="4" w:space="0" w:color="auto"/>
              <w:right w:val="single" w:sz="4" w:space="0" w:color="auto"/>
            </w:tcBorders>
            <w:vAlign w:val="center"/>
          </w:tcPr>
          <w:p w14:paraId="192AE4D1"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155400,05</w:t>
            </w:r>
          </w:p>
        </w:tc>
        <w:tc>
          <w:tcPr>
            <w:tcW w:w="1275" w:type="dxa"/>
            <w:tcBorders>
              <w:top w:val="single" w:sz="4" w:space="0" w:color="auto"/>
              <w:left w:val="single" w:sz="4" w:space="0" w:color="auto"/>
              <w:bottom w:val="single" w:sz="4" w:space="0" w:color="auto"/>
              <w:right w:val="single" w:sz="4" w:space="0" w:color="auto"/>
            </w:tcBorders>
            <w:vAlign w:val="center"/>
          </w:tcPr>
          <w:p w14:paraId="1D98ECE3"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174170,82</w:t>
            </w:r>
          </w:p>
        </w:tc>
        <w:tc>
          <w:tcPr>
            <w:tcW w:w="1276" w:type="dxa"/>
            <w:tcBorders>
              <w:top w:val="single" w:sz="4" w:space="0" w:color="auto"/>
              <w:left w:val="single" w:sz="4" w:space="0" w:color="auto"/>
              <w:bottom w:val="single" w:sz="4" w:space="0" w:color="auto"/>
              <w:right w:val="single" w:sz="4" w:space="0" w:color="auto"/>
            </w:tcBorders>
            <w:vAlign w:val="center"/>
          </w:tcPr>
          <w:p w14:paraId="0EC47478"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189415,13</w:t>
            </w:r>
          </w:p>
        </w:tc>
        <w:tc>
          <w:tcPr>
            <w:tcW w:w="1276" w:type="dxa"/>
            <w:tcBorders>
              <w:top w:val="single" w:sz="4" w:space="0" w:color="auto"/>
              <w:left w:val="single" w:sz="4" w:space="0" w:color="auto"/>
              <w:bottom w:val="single" w:sz="4" w:space="0" w:color="auto"/>
              <w:right w:val="nil"/>
            </w:tcBorders>
            <w:vAlign w:val="center"/>
          </w:tcPr>
          <w:p w14:paraId="21B4D552"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200138,86</w:t>
            </w:r>
          </w:p>
        </w:tc>
        <w:tc>
          <w:tcPr>
            <w:tcW w:w="1276" w:type="dxa"/>
            <w:tcBorders>
              <w:top w:val="single" w:sz="4" w:space="0" w:color="auto"/>
              <w:left w:val="single" w:sz="4" w:space="0" w:color="auto"/>
              <w:bottom w:val="single" w:sz="4" w:space="0" w:color="auto"/>
            </w:tcBorders>
            <w:vAlign w:val="center"/>
          </w:tcPr>
          <w:p w14:paraId="31686755"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212298,50</w:t>
            </w:r>
          </w:p>
        </w:tc>
      </w:tr>
      <w:tr w:rsidR="008648ED" w:rsidRPr="00B66512" w14:paraId="48A652A0" w14:textId="77777777" w:rsidTr="00F848E9">
        <w:trPr>
          <w:gridAfter w:val="1"/>
          <w:wAfter w:w="18" w:type="dxa"/>
          <w:trHeight w:val="414"/>
        </w:trPr>
        <w:tc>
          <w:tcPr>
            <w:tcW w:w="1843" w:type="dxa"/>
            <w:tcBorders>
              <w:top w:val="single" w:sz="4" w:space="0" w:color="auto"/>
              <w:bottom w:val="single" w:sz="4" w:space="0" w:color="auto"/>
              <w:right w:val="single" w:sz="4" w:space="0" w:color="auto"/>
            </w:tcBorders>
          </w:tcPr>
          <w:p w14:paraId="7662D108"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Темп  роста в сопоставимых  ценах</w:t>
            </w:r>
          </w:p>
        </w:tc>
        <w:tc>
          <w:tcPr>
            <w:tcW w:w="709" w:type="dxa"/>
            <w:tcBorders>
              <w:top w:val="single" w:sz="4" w:space="0" w:color="auto"/>
              <w:left w:val="single" w:sz="4" w:space="0" w:color="auto"/>
              <w:bottom w:val="single" w:sz="4" w:space="0" w:color="auto"/>
              <w:right w:val="single" w:sz="4" w:space="0" w:color="auto"/>
            </w:tcBorders>
          </w:tcPr>
          <w:p w14:paraId="47FA1B76" w14:textId="77777777" w:rsidR="008648ED" w:rsidRPr="00B66512" w:rsidRDefault="008648ED" w:rsidP="008648ED">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w:t>
            </w:r>
          </w:p>
        </w:tc>
        <w:tc>
          <w:tcPr>
            <w:tcW w:w="1019" w:type="dxa"/>
            <w:tcBorders>
              <w:top w:val="single" w:sz="4" w:space="0" w:color="auto"/>
              <w:left w:val="single" w:sz="4" w:space="0" w:color="auto"/>
              <w:bottom w:val="single" w:sz="4" w:space="0" w:color="auto"/>
              <w:right w:val="single" w:sz="4" w:space="0" w:color="auto"/>
            </w:tcBorders>
            <w:vAlign w:val="center"/>
          </w:tcPr>
          <w:p w14:paraId="60FC6BEF"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95,67</w:t>
            </w:r>
          </w:p>
        </w:tc>
        <w:tc>
          <w:tcPr>
            <w:tcW w:w="1100" w:type="dxa"/>
            <w:tcBorders>
              <w:top w:val="single" w:sz="4" w:space="0" w:color="auto"/>
              <w:left w:val="single" w:sz="4" w:space="0" w:color="auto"/>
              <w:bottom w:val="single" w:sz="4" w:space="0" w:color="auto"/>
              <w:right w:val="single" w:sz="4" w:space="0" w:color="auto"/>
            </w:tcBorders>
            <w:vAlign w:val="center"/>
          </w:tcPr>
          <w:p w14:paraId="4EC5A982"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105,21</w:t>
            </w:r>
          </w:p>
        </w:tc>
        <w:tc>
          <w:tcPr>
            <w:tcW w:w="1275" w:type="dxa"/>
            <w:tcBorders>
              <w:top w:val="single" w:sz="4" w:space="0" w:color="auto"/>
              <w:left w:val="single" w:sz="4" w:space="0" w:color="auto"/>
              <w:bottom w:val="single" w:sz="4" w:space="0" w:color="auto"/>
              <w:right w:val="single" w:sz="4" w:space="0" w:color="auto"/>
            </w:tcBorders>
            <w:vAlign w:val="center"/>
          </w:tcPr>
          <w:p w14:paraId="1004B978"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101,71</w:t>
            </w:r>
          </w:p>
        </w:tc>
        <w:tc>
          <w:tcPr>
            <w:tcW w:w="1276" w:type="dxa"/>
            <w:tcBorders>
              <w:top w:val="single" w:sz="4" w:space="0" w:color="auto"/>
              <w:left w:val="single" w:sz="4" w:space="0" w:color="auto"/>
              <w:bottom w:val="single" w:sz="4" w:space="0" w:color="auto"/>
              <w:right w:val="single" w:sz="4" w:space="0" w:color="auto"/>
            </w:tcBorders>
            <w:vAlign w:val="center"/>
          </w:tcPr>
          <w:p w14:paraId="204BF0E2"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102,50</w:t>
            </w:r>
          </w:p>
        </w:tc>
        <w:tc>
          <w:tcPr>
            <w:tcW w:w="1276" w:type="dxa"/>
            <w:tcBorders>
              <w:top w:val="single" w:sz="4" w:space="0" w:color="auto"/>
              <w:left w:val="single" w:sz="4" w:space="0" w:color="auto"/>
              <w:bottom w:val="single" w:sz="4" w:space="0" w:color="auto"/>
              <w:right w:val="nil"/>
            </w:tcBorders>
            <w:vAlign w:val="center"/>
          </w:tcPr>
          <w:p w14:paraId="1C64E219"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101,50</w:t>
            </w:r>
          </w:p>
        </w:tc>
        <w:tc>
          <w:tcPr>
            <w:tcW w:w="1276" w:type="dxa"/>
            <w:tcBorders>
              <w:top w:val="single" w:sz="4" w:space="0" w:color="auto"/>
              <w:left w:val="single" w:sz="4" w:space="0" w:color="auto"/>
              <w:bottom w:val="single" w:sz="4" w:space="0" w:color="auto"/>
            </w:tcBorders>
            <w:vAlign w:val="center"/>
          </w:tcPr>
          <w:p w14:paraId="6542A44F" w14:textId="77777777" w:rsidR="008648ED" w:rsidRPr="00B66512" w:rsidRDefault="008648ED" w:rsidP="008648ED">
            <w:pPr>
              <w:autoSpaceDE w:val="0"/>
              <w:autoSpaceDN w:val="0"/>
              <w:adjustRightInd w:val="0"/>
              <w:spacing w:after="0" w:line="240" w:lineRule="auto"/>
              <w:jc w:val="center"/>
              <w:rPr>
                <w:rFonts w:ascii="Times New Roman CYR" w:hAnsi="Times New Roman CYR" w:cs="Times New Roman CYR"/>
                <w:sz w:val="18"/>
                <w:szCs w:val="18"/>
                <w:lang w:eastAsia="en-US"/>
              </w:rPr>
            </w:pPr>
            <w:r w:rsidRPr="00B66512">
              <w:rPr>
                <w:rFonts w:ascii="Times New Roman CYR" w:hAnsi="Times New Roman CYR" w:cs="Times New Roman CYR"/>
                <w:sz w:val="18"/>
                <w:szCs w:val="18"/>
                <w:lang w:eastAsia="en-US"/>
              </w:rPr>
              <w:t>101,80</w:t>
            </w:r>
          </w:p>
        </w:tc>
      </w:tr>
    </w:tbl>
    <w:p w14:paraId="2FBC9B7E" w14:textId="77777777" w:rsidR="008343F5" w:rsidRDefault="008343F5" w:rsidP="008648ED">
      <w:pPr>
        <w:autoSpaceDE w:val="0"/>
        <w:autoSpaceDN w:val="0"/>
        <w:adjustRightInd w:val="0"/>
        <w:spacing w:after="0" w:line="240" w:lineRule="auto"/>
        <w:ind w:firstLine="720"/>
        <w:jc w:val="both"/>
        <w:rPr>
          <w:rFonts w:ascii="Times New Roman" w:hAnsi="Times New Roman"/>
          <w:bCs/>
          <w:sz w:val="28"/>
          <w:szCs w:val="28"/>
        </w:rPr>
      </w:pPr>
    </w:p>
    <w:p w14:paraId="71A602AB"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В отчетном периоде существенных изменений в структуре платных услуг, оказанных населению, не произошло.</w:t>
      </w:r>
    </w:p>
    <w:p w14:paraId="08C1486B"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xml:space="preserve">Среди всех видов платных услуг преобладают коммунальные услуги, услуги связи, социальные услуги. Наибольший удельный вес оказанных платных услуг населению в 2023 году от общего объема оказанных услуг приходится на:   </w:t>
      </w:r>
    </w:p>
    <w:p w14:paraId="7A03F2BB"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коммунальные услуги  – 44,46%;</w:t>
      </w:r>
    </w:p>
    <w:p w14:paraId="0483E32D"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xml:space="preserve">-  услуги связи – 14,54%; </w:t>
      </w:r>
    </w:p>
    <w:p w14:paraId="52AEF6E9"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социальные услуги – 9,53%;</w:t>
      </w:r>
    </w:p>
    <w:p w14:paraId="1D432003"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жилищные услуги – 7,44%;</w:t>
      </w:r>
    </w:p>
    <w:p w14:paraId="332FE4FD"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транспортные услуги – 5,23%;</w:t>
      </w:r>
    </w:p>
    <w:p w14:paraId="4F7085D7"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платных услуг, оказанные населению организациями муниципальной формы собственности – 3,89%;</w:t>
      </w:r>
    </w:p>
    <w:p w14:paraId="2ACB7155"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ветеринарные услуги – 3,66%;</w:t>
      </w:r>
    </w:p>
    <w:p w14:paraId="59C796C1"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прочие услуги – 3,74%;</w:t>
      </w:r>
    </w:p>
    <w:p w14:paraId="58EF51E3"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образование  - 3,60%;</w:t>
      </w:r>
    </w:p>
    <w:p w14:paraId="70256141"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юридические услуги – 1,75%;</w:t>
      </w:r>
    </w:p>
    <w:p w14:paraId="6510FB1D"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медицинские услуги – 1,61%.</w:t>
      </w:r>
    </w:p>
    <w:p w14:paraId="577E7527"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xml:space="preserve">По итогам 2023 года  темп роста объема коммунальных платных услуг к уровню 2022 года в действующих ценах увеличился  на 5,77%, в сопоставимой оценке рост составил 96,69%. Объем оказанных жилищных платных услуг составил 11 557,36 тыс. руб.  по отношению к 2022 году, увеличение в действующих ценах составило на 36,00%. </w:t>
      </w:r>
    </w:p>
    <w:p w14:paraId="29614F68"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lastRenderedPageBreak/>
        <w:t>Объем платных услуг связи, оказанных населению за отчетный год составил 22600,01 тыс. рублей, к уровню 2022 года в действующих ценах темп роста составил 106,52%, в сопоставимой оценке 97,73%.  Темп роста произошел  за счет увеличения стоимости услуг,  повышения доступности услуг связи в населенных пунктах района. Подключение доступа к сети Интернет на основе волоконно-оптических линий связи в отдаленных населенных пунктах района, что позволяет большему числу жителей края воспользоваться самыми современными услугами связи (сотовой связью, интернетом).</w:t>
      </w:r>
    </w:p>
    <w:p w14:paraId="15301463"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xml:space="preserve">По итогам 2023 года объем социальных платных услуг составил 14809,10 тыс. руб., темп роста к уровню 2022 года в действующих ценах увеличился на 9,16%, в сопоставимой оценке рост составил 100,33%. </w:t>
      </w:r>
    </w:p>
    <w:p w14:paraId="708AD801"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Объем транспортных услуг, оказанных населению составил 8130,02 тыс. рублей, темп роста к уровню 2022 года в действующих ценах составил 113,26%, в сопоставимых ценах 102,50%, увеличение связано в связи с ростом цен на топливо в отчетном году.</w:t>
      </w:r>
    </w:p>
    <w:p w14:paraId="198D877E"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Объем платных услуг, оказанных населению организациями муниципальной формы собственности составил 6040,22 тыс. рублей, темп роста к уровню 2022 года в действующих ценах составил 103,39%, в сопоставимых ценах 95,03%.</w:t>
      </w:r>
    </w:p>
    <w:p w14:paraId="65939A41"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Объем ветеринарных услуг, оказанных населению составил 5013,95 тыс. рублей, темп роста к уровню 2022 года в действующих ценах составил 100,94%, в сопоставимых ценах 84,11%.</w:t>
      </w:r>
      <w:r w:rsidRPr="00B66512">
        <w:rPr>
          <w:rFonts w:ascii="Times New Roman" w:hAnsi="Times New Roman"/>
          <w:sz w:val="24"/>
          <w:szCs w:val="24"/>
        </w:rPr>
        <w:t xml:space="preserve"> </w:t>
      </w:r>
      <w:r w:rsidRPr="00B66512">
        <w:rPr>
          <w:rFonts w:ascii="Times New Roman" w:hAnsi="Times New Roman"/>
          <w:bCs/>
          <w:sz w:val="28"/>
          <w:szCs w:val="28"/>
        </w:rPr>
        <w:t>Рост связан с увеличением количества обращений граждан, с целью оказания лечебной помощи сельскохозяйственным животным.</w:t>
      </w:r>
    </w:p>
    <w:p w14:paraId="6A919344"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Объем услуг образования, оказанных населению составил 5597,00 тыс. рублей, темп роста к уровню 2022 года в действующих ценах составил 113,05%, в сопоставимых ценах 106,65%.</w:t>
      </w:r>
    </w:p>
    <w:p w14:paraId="6DCB87DE"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Объем юридических услуг, оказанных населению составил 2715,46 тыс. рублей, темп роста к уровню 2022 года в действующих ценах составил 108,02%, в сопоставимых ценах 99,10%.</w:t>
      </w:r>
    </w:p>
    <w:p w14:paraId="34284CA1"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Объем медицинских услуг, оказанных населению составил 2508,47 тыс. рублей, темп роста к уровню 2022 года в действующих ценах составил 125,54%, в сопоставимых ценах 114,13%.</w:t>
      </w:r>
    </w:p>
    <w:p w14:paraId="0910956F"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Объем платных услуг учреждений культуры, оказанных населению составил 784,16 тыс. рублей, темп роста к уровню 2022 года в действующих ценах составил 102,98%, в сопоставимых ценах 99,98%.</w:t>
      </w:r>
    </w:p>
    <w:p w14:paraId="5C4167BD"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Объем платных бытовых услуг, оказанных населению составил 609,21 тыс. рублей, темп роста к уровню 2022 года в действующих ценах составил 148,52%, в сопоставимых ценах 134,06%.</w:t>
      </w:r>
    </w:p>
    <w:p w14:paraId="5435A223"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lastRenderedPageBreak/>
        <w:t>Объем платных услуг учреждений физической культуры и спорта, оказанных населению составил 161,18 тыс. рублей, темп роста к уровню 2022 года в действующих ценах составил 124,34%, в сопоставимых ценах 118,42%.</w:t>
      </w:r>
    </w:p>
    <w:p w14:paraId="289A08CF"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xml:space="preserve">По оценке 2024 года ожидается рост оказания услуг населению в действующих ценах на 12,08%, в сопоставимой оценке темп роста ожидается 101,71%. В прогнозном периоде 2025-2027 годы существенного изменения не ожидается, темп роста в сопоставимых ценах в 2025 году ожидается 102,50%, в 2026 г – 101,50%, в 2027 году – 101,80%.  </w:t>
      </w:r>
    </w:p>
    <w:p w14:paraId="3850BCD9"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xml:space="preserve">Изменения в предпочтениях населения по использованию денежных доходов в отчетном году, также как и прошлом году повлияли на замедление развития рынка платных услуг населению. </w:t>
      </w:r>
    </w:p>
    <w:p w14:paraId="0C69ADE5"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В среднесрочной перспективе на динамику объема оказания платных услуг населению, также как и на торговлю, наибольшее влияние будут оказывать сдержанный рост денежных доходов населения.</w:t>
      </w:r>
    </w:p>
    <w:p w14:paraId="4D40F498"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
          <w:bCs/>
          <w:sz w:val="28"/>
          <w:szCs w:val="28"/>
        </w:rPr>
      </w:pPr>
      <w:r w:rsidRPr="00B66512">
        <w:rPr>
          <w:rFonts w:ascii="Times New Roman" w:hAnsi="Times New Roman"/>
          <w:b/>
          <w:bCs/>
          <w:sz w:val="28"/>
          <w:szCs w:val="28"/>
        </w:rPr>
        <w:t>Объем предоставления муниципальных услуг</w:t>
      </w:r>
    </w:p>
    <w:p w14:paraId="4FF45338"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В прогнозный период 2025-2027 гг. будет проводиться политика, направленная на повышение муниципального управления и оказания муниципальных услуг.</w:t>
      </w:r>
    </w:p>
    <w:p w14:paraId="6B2969AD"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В рамках данного направления будут реализованы муниципальные программы, направленные на совершенствование системы управления муниципальными финансами, повышение эффективности использования муниципального имущества.</w:t>
      </w:r>
    </w:p>
    <w:p w14:paraId="2EC805FD"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 xml:space="preserve">Эффективное управление муниципальными финансами и совершенствование межбюджетных отношений будет осуществляться путём </w:t>
      </w:r>
    </w:p>
    <w:p w14:paraId="4A9A835E" w14:textId="77777777" w:rsidR="008648ED" w:rsidRPr="00B66512" w:rsidRDefault="008648ED" w:rsidP="008648ED">
      <w:pPr>
        <w:autoSpaceDE w:val="0"/>
        <w:autoSpaceDN w:val="0"/>
        <w:adjustRightInd w:val="0"/>
        <w:spacing w:after="0" w:line="240" w:lineRule="auto"/>
        <w:jc w:val="both"/>
        <w:rPr>
          <w:rFonts w:ascii="Times New Roman" w:hAnsi="Times New Roman"/>
          <w:bCs/>
          <w:sz w:val="28"/>
          <w:szCs w:val="28"/>
        </w:rPr>
      </w:pPr>
      <w:r w:rsidRPr="00B66512">
        <w:rPr>
          <w:rFonts w:ascii="Times New Roman" w:hAnsi="Times New Roman"/>
          <w:bCs/>
          <w:sz w:val="28"/>
          <w:szCs w:val="28"/>
        </w:rPr>
        <w:t>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бюджетов поселений  района, организация бюджетного процесса «Электронный бюджет»,  повышения открытости для населения, через использование информационных ресурсов (официальный сайт администрации района, средства массовой информации, местное телевидение).</w:t>
      </w:r>
    </w:p>
    <w:p w14:paraId="24AE796D" w14:textId="77777777" w:rsidR="008648ED"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Повышение эффективности использования муниципального имущества будет осуществляться путем совершенствования механизма предоставления муниципального имущества и земельных участков в аренду, контроль за эффективностью использования муниципального имущества.</w:t>
      </w:r>
    </w:p>
    <w:p w14:paraId="547520FD" w14:textId="77777777" w:rsidR="00E723E5" w:rsidRPr="00B66512" w:rsidRDefault="008648ED" w:rsidP="008648ED">
      <w:pPr>
        <w:autoSpaceDE w:val="0"/>
        <w:autoSpaceDN w:val="0"/>
        <w:adjustRightInd w:val="0"/>
        <w:spacing w:after="0" w:line="240" w:lineRule="auto"/>
        <w:ind w:firstLine="720"/>
        <w:jc w:val="both"/>
        <w:rPr>
          <w:rFonts w:ascii="Times New Roman" w:hAnsi="Times New Roman"/>
          <w:bCs/>
          <w:sz w:val="28"/>
          <w:szCs w:val="28"/>
        </w:rPr>
      </w:pPr>
      <w:r w:rsidRPr="00B66512">
        <w:rPr>
          <w:rFonts w:ascii="Times New Roman" w:hAnsi="Times New Roman"/>
          <w:bCs/>
          <w:sz w:val="28"/>
          <w:szCs w:val="28"/>
        </w:rPr>
        <w:t>Обеспечение повышения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w:t>
      </w:r>
    </w:p>
    <w:p w14:paraId="2C7F744F" w14:textId="77777777" w:rsidR="00E723E5" w:rsidRPr="00B66512" w:rsidRDefault="00E723E5">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14:paraId="309DD1D8"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13. Уровень жизни населения</w:t>
      </w:r>
    </w:p>
    <w:p w14:paraId="31880876"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09"/>
        <w:gridCol w:w="992"/>
        <w:gridCol w:w="1276"/>
        <w:gridCol w:w="1276"/>
        <w:gridCol w:w="1276"/>
        <w:gridCol w:w="1275"/>
        <w:gridCol w:w="1276"/>
      </w:tblGrid>
      <w:tr w:rsidR="003E07D6" w:rsidRPr="00B66512" w14:paraId="757AA896" w14:textId="77777777" w:rsidTr="00F848E9">
        <w:trPr>
          <w:trHeight w:val="795"/>
        </w:trPr>
        <w:tc>
          <w:tcPr>
            <w:tcW w:w="1701" w:type="dxa"/>
            <w:tcBorders>
              <w:top w:val="single" w:sz="4" w:space="0" w:color="auto"/>
              <w:bottom w:val="single" w:sz="4" w:space="0" w:color="auto"/>
              <w:right w:val="single" w:sz="4" w:space="0" w:color="auto"/>
            </w:tcBorders>
          </w:tcPr>
          <w:p w14:paraId="4AB96B29"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lastRenderedPageBreak/>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14:paraId="4650EAFF"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Ед.</w:t>
            </w:r>
          </w:p>
          <w:p w14:paraId="29541014"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изм.</w:t>
            </w:r>
          </w:p>
        </w:tc>
        <w:tc>
          <w:tcPr>
            <w:tcW w:w="992" w:type="dxa"/>
            <w:tcBorders>
              <w:top w:val="single" w:sz="4" w:space="0" w:color="auto"/>
              <w:left w:val="single" w:sz="4" w:space="0" w:color="auto"/>
              <w:bottom w:val="single" w:sz="4" w:space="0" w:color="auto"/>
              <w:right w:val="single" w:sz="4" w:space="0" w:color="auto"/>
            </w:tcBorders>
            <w:vAlign w:val="center"/>
          </w:tcPr>
          <w:p w14:paraId="18F9A822"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2022 год</w:t>
            </w:r>
          </w:p>
          <w:p w14:paraId="3CB3E42A"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отчет</w:t>
            </w:r>
          </w:p>
        </w:tc>
        <w:tc>
          <w:tcPr>
            <w:tcW w:w="1276" w:type="dxa"/>
            <w:tcBorders>
              <w:top w:val="single" w:sz="4" w:space="0" w:color="auto"/>
              <w:left w:val="single" w:sz="4" w:space="0" w:color="auto"/>
              <w:bottom w:val="single" w:sz="4" w:space="0" w:color="auto"/>
              <w:right w:val="single" w:sz="4" w:space="0" w:color="auto"/>
            </w:tcBorders>
            <w:vAlign w:val="center"/>
          </w:tcPr>
          <w:p w14:paraId="5C44E17E"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2023 год</w:t>
            </w:r>
          </w:p>
          <w:p w14:paraId="598B8E7E"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отчет</w:t>
            </w:r>
          </w:p>
        </w:tc>
        <w:tc>
          <w:tcPr>
            <w:tcW w:w="1276" w:type="dxa"/>
            <w:tcBorders>
              <w:top w:val="single" w:sz="4" w:space="0" w:color="auto"/>
              <w:left w:val="single" w:sz="4" w:space="0" w:color="auto"/>
              <w:bottom w:val="single" w:sz="4" w:space="0" w:color="auto"/>
              <w:right w:val="single" w:sz="4" w:space="0" w:color="auto"/>
            </w:tcBorders>
            <w:vAlign w:val="center"/>
          </w:tcPr>
          <w:p w14:paraId="59E64AF1"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2024 год</w:t>
            </w:r>
          </w:p>
          <w:p w14:paraId="72D5F137"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оценка</w:t>
            </w:r>
          </w:p>
        </w:tc>
        <w:tc>
          <w:tcPr>
            <w:tcW w:w="1276" w:type="dxa"/>
            <w:tcBorders>
              <w:top w:val="single" w:sz="4" w:space="0" w:color="auto"/>
              <w:left w:val="single" w:sz="4" w:space="0" w:color="auto"/>
              <w:bottom w:val="single" w:sz="4" w:space="0" w:color="auto"/>
              <w:right w:val="single" w:sz="4" w:space="0" w:color="auto"/>
            </w:tcBorders>
            <w:vAlign w:val="center"/>
          </w:tcPr>
          <w:p w14:paraId="1493B9E1"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2025 год</w:t>
            </w:r>
          </w:p>
          <w:p w14:paraId="024E99A0"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прогноз</w:t>
            </w:r>
          </w:p>
        </w:tc>
        <w:tc>
          <w:tcPr>
            <w:tcW w:w="1275" w:type="dxa"/>
            <w:tcBorders>
              <w:top w:val="single" w:sz="4" w:space="0" w:color="auto"/>
              <w:left w:val="single" w:sz="4" w:space="0" w:color="auto"/>
              <w:bottom w:val="single" w:sz="4" w:space="0" w:color="auto"/>
              <w:right w:val="single" w:sz="4" w:space="0" w:color="auto"/>
            </w:tcBorders>
            <w:vAlign w:val="center"/>
          </w:tcPr>
          <w:p w14:paraId="1C683B09"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2026 год</w:t>
            </w:r>
          </w:p>
          <w:p w14:paraId="65AD8CAE"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прогноз</w:t>
            </w:r>
          </w:p>
        </w:tc>
        <w:tc>
          <w:tcPr>
            <w:tcW w:w="1276" w:type="dxa"/>
            <w:tcBorders>
              <w:top w:val="single" w:sz="4" w:space="0" w:color="auto"/>
              <w:left w:val="single" w:sz="4" w:space="0" w:color="auto"/>
              <w:bottom w:val="single" w:sz="4" w:space="0" w:color="auto"/>
            </w:tcBorders>
            <w:vAlign w:val="center"/>
          </w:tcPr>
          <w:p w14:paraId="4DFAD9D5"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2027 год</w:t>
            </w:r>
          </w:p>
          <w:p w14:paraId="2B83AC6D"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прогноз</w:t>
            </w:r>
          </w:p>
        </w:tc>
      </w:tr>
      <w:tr w:rsidR="003E07D6" w:rsidRPr="00B66512" w14:paraId="509F6277" w14:textId="77777777" w:rsidTr="00F848E9">
        <w:trPr>
          <w:trHeight w:val="414"/>
        </w:trPr>
        <w:tc>
          <w:tcPr>
            <w:tcW w:w="1701" w:type="dxa"/>
            <w:tcBorders>
              <w:top w:val="single" w:sz="4" w:space="0" w:color="auto"/>
              <w:bottom w:val="single" w:sz="4" w:space="0" w:color="auto"/>
              <w:right w:val="single" w:sz="4" w:space="0" w:color="auto"/>
            </w:tcBorders>
          </w:tcPr>
          <w:p w14:paraId="7DA27E45" w14:textId="77777777" w:rsidR="003E07D6" w:rsidRPr="00B66512" w:rsidRDefault="003E07D6" w:rsidP="003E07D6">
            <w:pPr>
              <w:autoSpaceDE w:val="0"/>
              <w:autoSpaceDN w:val="0"/>
              <w:adjustRightInd w:val="0"/>
              <w:spacing w:after="0"/>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 xml:space="preserve">Среднедушевые денежные доходы </w:t>
            </w:r>
          </w:p>
        </w:tc>
        <w:tc>
          <w:tcPr>
            <w:tcW w:w="709" w:type="dxa"/>
            <w:tcBorders>
              <w:top w:val="single" w:sz="4" w:space="0" w:color="auto"/>
              <w:left w:val="single" w:sz="4" w:space="0" w:color="auto"/>
              <w:bottom w:val="single" w:sz="4" w:space="0" w:color="auto"/>
              <w:right w:val="single" w:sz="4" w:space="0" w:color="auto"/>
            </w:tcBorders>
          </w:tcPr>
          <w:p w14:paraId="5DD31FF7"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p>
          <w:p w14:paraId="077E2D29"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14:paraId="0E973CFD"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20958,17</w:t>
            </w:r>
          </w:p>
        </w:tc>
        <w:tc>
          <w:tcPr>
            <w:tcW w:w="1276" w:type="dxa"/>
            <w:tcBorders>
              <w:top w:val="single" w:sz="4" w:space="0" w:color="auto"/>
              <w:left w:val="single" w:sz="4" w:space="0" w:color="auto"/>
              <w:bottom w:val="single" w:sz="4" w:space="0" w:color="auto"/>
              <w:right w:val="single" w:sz="4" w:space="0" w:color="auto"/>
            </w:tcBorders>
            <w:vAlign w:val="center"/>
          </w:tcPr>
          <w:p w14:paraId="5B0B6723"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24437,23</w:t>
            </w:r>
          </w:p>
        </w:tc>
        <w:tc>
          <w:tcPr>
            <w:tcW w:w="1276" w:type="dxa"/>
            <w:tcBorders>
              <w:top w:val="single" w:sz="4" w:space="0" w:color="auto"/>
              <w:left w:val="single" w:sz="4" w:space="0" w:color="auto"/>
              <w:bottom w:val="single" w:sz="4" w:space="0" w:color="auto"/>
              <w:right w:val="single" w:sz="4" w:space="0" w:color="auto"/>
            </w:tcBorders>
            <w:vAlign w:val="center"/>
          </w:tcPr>
          <w:p w14:paraId="5F809084"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29202,49</w:t>
            </w:r>
          </w:p>
        </w:tc>
        <w:tc>
          <w:tcPr>
            <w:tcW w:w="1276" w:type="dxa"/>
            <w:tcBorders>
              <w:top w:val="single" w:sz="4" w:space="0" w:color="auto"/>
              <w:left w:val="single" w:sz="4" w:space="0" w:color="auto"/>
              <w:bottom w:val="single" w:sz="4" w:space="0" w:color="auto"/>
              <w:right w:val="single" w:sz="4" w:space="0" w:color="auto"/>
            </w:tcBorders>
            <w:vAlign w:val="center"/>
          </w:tcPr>
          <w:p w14:paraId="6234F9E2"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31772,31</w:t>
            </w:r>
          </w:p>
        </w:tc>
        <w:tc>
          <w:tcPr>
            <w:tcW w:w="1275" w:type="dxa"/>
            <w:tcBorders>
              <w:top w:val="single" w:sz="4" w:space="0" w:color="auto"/>
              <w:left w:val="single" w:sz="4" w:space="0" w:color="auto"/>
              <w:bottom w:val="single" w:sz="4" w:space="0" w:color="auto"/>
              <w:right w:val="single" w:sz="4" w:space="0" w:color="auto"/>
            </w:tcBorders>
            <w:vAlign w:val="center"/>
          </w:tcPr>
          <w:p w14:paraId="25633C74"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33996,37</w:t>
            </w:r>
          </w:p>
        </w:tc>
        <w:tc>
          <w:tcPr>
            <w:tcW w:w="1276" w:type="dxa"/>
            <w:tcBorders>
              <w:top w:val="single" w:sz="4" w:space="0" w:color="auto"/>
              <w:left w:val="single" w:sz="4" w:space="0" w:color="auto"/>
              <w:bottom w:val="single" w:sz="4" w:space="0" w:color="auto"/>
            </w:tcBorders>
            <w:vAlign w:val="center"/>
          </w:tcPr>
          <w:p w14:paraId="6B12F073"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36240,13</w:t>
            </w:r>
          </w:p>
        </w:tc>
      </w:tr>
      <w:tr w:rsidR="003E07D6" w:rsidRPr="00B66512" w14:paraId="5914AE14" w14:textId="77777777" w:rsidTr="00F848E9">
        <w:trPr>
          <w:trHeight w:val="414"/>
        </w:trPr>
        <w:tc>
          <w:tcPr>
            <w:tcW w:w="1701" w:type="dxa"/>
            <w:tcBorders>
              <w:top w:val="single" w:sz="4" w:space="0" w:color="auto"/>
              <w:bottom w:val="single" w:sz="4" w:space="0" w:color="auto"/>
              <w:right w:val="single" w:sz="4" w:space="0" w:color="auto"/>
            </w:tcBorders>
          </w:tcPr>
          <w:p w14:paraId="0D913E49" w14:textId="77777777" w:rsidR="003E07D6" w:rsidRPr="00B66512" w:rsidRDefault="003E07D6" w:rsidP="003E07D6">
            <w:pPr>
              <w:autoSpaceDE w:val="0"/>
              <w:autoSpaceDN w:val="0"/>
              <w:adjustRightInd w:val="0"/>
              <w:spacing w:after="0"/>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Темп роста среднедушевых денежных доходов населения номинальный</w:t>
            </w:r>
          </w:p>
        </w:tc>
        <w:tc>
          <w:tcPr>
            <w:tcW w:w="709" w:type="dxa"/>
            <w:tcBorders>
              <w:top w:val="single" w:sz="4" w:space="0" w:color="auto"/>
              <w:left w:val="single" w:sz="4" w:space="0" w:color="auto"/>
              <w:bottom w:val="single" w:sz="4" w:space="0" w:color="auto"/>
              <w:right w:val="single" w:sz="4" w:space="0" w:color="auto"/>
            </w:tcBorders>
          </w:tcPr>
          <w:p w14:paraId="180F1BD6"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p>
          <w:p w14:paraId="16ABA5C1"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2029BC1"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121,19</w:t>
            </w:r>
          </w:p>
        </w:tc>
        <w:tc>
          <w:tcPr>
            <w:tcW w:w="1276" w:type="dxa"/>
            <w:tcBorders>
              <w:top w:val="single" w:sz="4" w:space="0" w:color="auto"/>
              <w:left w:val="single" w:sz="4" w:space="0" w:color="auto"/>
              <w:bottom w:val="single" w:sz="4" w:space="0" w:color="auto"/>
              <w:right w:val="single" w:sz="4" w:space="0" w:color="auto"/>
            </w:tcBorders>
            <w:vAlign w:val="center"/>
          </w:tcPr>
          <w:p w14:paraId="491E0F42"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116,60</w:t>
            </w:r>
          </w:p>
        </w:tc>
        <w:tc>
          <w:tcPr>
            <w:tcW w:w="1276" w:type="dxa"/>
            <w:tcBorders>
              <w:top w:val="single" w:sz="4" w:space="0" w:color="auto"/>
              <w:left w:val="single" w:sz="4" w:space="0" w:color="auto"/>
              <w:bottom w:val="single" w:sz="4" w:space="0" w:color="auto"/>
              <w:right w:val="single" w:sz="4" w:space="0" w:color="auto"/>
            </w:tcBorders>
            <w:vAlign w:val="center"/>
          </w:tcPr>
          <w:p w14:paraId="213C3025"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119,50</w:t>
            </w:r>
          </w:p>
        </w:tc>
        <w:tc>
          <w:tcPr>
            <w:tcW w:w="1276" w:type="dxa"/>
            <w:tcBorders>
              <w:top w:val="single" w:sz="4" w:space="0" w:color="auto"/>
              <w:left w:val="single" w:sz="4" w:space="0" w:color="auto"/>
              <w:bottom w:val="single" w:sz="4" w:space="0" w:color="auto"/>
              <w:right w:val="single" w:sz="4" w:space="0" w:color="auto"/>
            </w:tcBorders>
            <w:vAlign w:val="center"/>
          </w:tcPr>
          <w:p w14:paraId="1D0FB4C4"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108,80</w:t>
            </w:r>
          </w:p>
        </w:tc>
        <w:tc>
          <w:tcPr>
            <w:tcW w:w="1275" w:type="dxa"/>
            <w:tcBorders>
              <w:top w:val="single" w:sz="4" w:space="0" w:color="auto"/>
              <w:left w:val="single" w:sz="4" w:space="0" w:color="auto"/>
              <w:bottom w:val="single" w:sz="4" w:space="0" w:color="auto"/>
              <w:right w:val="single" w:sz="4" w:space="0" w:color="auto"/>
            </w:tcBorders>
            <w:vAlign w:val="center"/>
          </w:tcPr>
          <w:p w14:paraId="7E9674F4"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107,00</w:t>
            </w:r>
          </w:p>
        </w:tc>
        <w:tc>
          <w:tcPr>
            <w:tcW w:w="1276" w:type="dxa"/>
            <w:tcBorders>
              <w:top w:val="single" w:sz="4" w:space="0" w:color="auto"/>
              <w:left w:val="single" w:sz="4" w:space="0" w:color="auto"/>
              <w:bottom w:val="single" w:sz="4" w:space="0" w:color="auto"/>
            </w:tcBorders>
            <w:vAlign w:val="center"/>
          </w:tcPr>
          <w:p w14:paraId="6D11A5DB"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106,60</w:t>
            </w:r>
          </w:p>
        </w:tc>
      </w:tr>
      <w:tr w:rsidR="003E07D6" w:rsidRPr="00B66512" w14:paraId="0AE6BD02" w14:textId="77777777" w:rsidTr="00F848E9">
        <w:trPr>
          <w:trHeight w:val="414"/>
        </w:trPr>
        <w:tc>
          <w:tcPr>
            <w:tcW w:w="1701" w:type="dxa"/>
            <w:tcBorders>
              <w:top w:val="single" w:sz="4" w:space="0" w:color="auto"/>
              <w:bottom w:val="single" w:sz="4" w:space="0" w:color="auto"/>
              <w:right w:val="single" w:sz="4" w:space="0" w:color="auto"/>
            </w:tcBorders>
          </w:tcPr>
          <w:p w14:paraId="09672849" w14:textId="77777777" w:rsidR="003E07D6" w:rsidRPr="00B66512" w:rsidRDefault="003E07D6" w:rsidP="003E07D6">
            <w:pPr>
              <w:autoSpaceDE w:val="0"/>
              <w:autoSpaceDN w:val="0"/>
              <w:adjustRightInd w:val="0"/>
              <w:spacing w:after="0"/>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Темп роста среднедушевых денежных доходов населения реальный</w:t>
            </w:r>
          </w:p>
        </w:tc>
        <w:tc>
          <w:tcPr>
            <w:tcW w:w="709" w:type="dxa"/>
            <w:tcBorders>
              <w:top w:val="single" w:sz="4" w:space="0" w:color="auto"/>
              <w:left w:val="single" w:sz="4" w:space="0" w:color="auto"/>
              <w:bottom w:val="single" w:sz="4" w:space="0" w:color="auto"/>
              <w:right w:val="single" w:sz="4" w:space="0" w:color="auto"/>
            </w:tcBorders>
          </w:tcPr>
          <w:p w14:paraId="55812507"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p>
          <w:p w14:paraId="56765356"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467E343"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106,11</w:t>
            </w:r>
          </w:p>
        </w:tc>
        <w:tc>
          <w:tcPr>
            <w:tcW w:w="1276" w:type="dxa"/>
            <w:tcBorders>
              <w:top w:val="single" w:sz="4" w:space="0" w:color="auto"/>
              <w:left w:val="single" w:sz="4" w:space="0" w:color="auto"/>
              <w:bottom w:val="single" w:sz="4" w:space="0" w:color="auto"/>
              <w:right w:val="single" w:sz="4" w:space="0" w:color="auto"/>
            </w:tcBorders>
            <w:vAlign w:val="center"/>
          </w:tcPr>
          <w:p w14:paraId="70862CB8"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110,12</w:t>
            </w:r>
          </w:p>
        </w:tc>
        <w:tc>
          <w:tcPr>
            <w:tcW w:w="1276" w:type="dxa"/>
            <w:tcBorders>
              <w:top w:val="single" w:sz="4" w:space="0" w:color="auto"/>
              <w:left w:val="single" w:sz="4" w:space="0" w:color="auto"/>
              <w:bottom w:val="single" w:sz="4" w:space="0" w:color="auto"/>
              <w:right w:val="single" w:sz="4" w:space="0" w:color="auto"/>
            </w:tcBorders>
            <w:vAlign w:val="center"/>
          </w:tcPr>
          <w:p w14:paraId="666E9590"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110,85</w:t>
            </w:r>
          </w:p>
        </w:tc>
        <w:tc>
          <w:tcPr>
            <w:tcW w:w="1276" w:type="dxa"/>
            <w:tcBorders>
              <w:top w:val="single" w:sz="4" w:space="0" w:color="auto"/>
              <w:left w:val="single" w:sz="4" w:space="0" w:color="auto"/>
              <w:bottom w:val="single" w:sz="4" w:space="0" w:color="auto"/>
              <w:right w:val="single" w:sz="4" w:space="0" w:color="auto"/>
            </w:tcBorders>
            <w:vAlign w:val="center"/>
          </w:tcPr>
          <w:p w14:paraId="3B6CA5EE"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103,62</w:t>
            </w:r>
          </w:p>
        </w:tc>
        <w:tc>
          <w:tcPr>
            <w:tcW w:w="1275" w:type="dxa"/>
            <w:tcBorders>
              <w:top w:val="single" w:sz="4" w:space="0" w:color="auto"/>
              <w:left w:val="single" w:sz="4" w:space="0" w:color="auto"/>
              <w:bottom w:val="single" w:sz="4" w:space="0" w:color="auto"/>
              <w:right w:val="single" w:sz="4" w:space="0" w:color="auto"/>
            </w:tcBorders>
            <w:vAlign w:val="center"/>
          </w:tcPr>
          <w:p w14:paraId="52267586"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102,88</w:t>
            </w:r>
          </w:p>
        </w:tc>
        <w:tc>
          <w:tcPr>
            <w:tcW w:w="1276" w:type="dxa"/>
            <w:tcBorders>
              <w:top w:val="single" w:sz="4" w:space="0" w:color="auto"/>
              <w:left w:val="single" w:sz="4" w:space="0" w:color="auto"/>
              <w:bottom w:val="single" w:sz="4" w:space="0" w:color="auto"/>
            </w:tcBorders>
            <w:vAlign w:val="center"/>
          </w:tcPr>
          <w:p w14:paraId="28777C42"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102,50</w:t>
            </w:r>
          </w:p>
        </w:tc>
      </w:tr>
      <w:tr w:rsidR="003E07D6" w:rsidRPr="00B66512" w14:paraId="60EF6A66" w14:textId="77777777" w:rsidTr="00F848E9">
        <w:trPr>
          <w:trHeight w:val="414"/>
        </w:trPr>
        <w:tc>
          <w:tcPr>
            <w:tcW w:w="1701" w:type="dxa"/>
            <w:tcBorders>
              <w:top w:val="single" w:sz="4" w:space="0" w:color="auto"/>
              <w:bottom w:val="single" w:sz="4" w:space="0" w:color="auto"/>
              <w:right w:val="single" w:sz="4" w:space="0" w:color="auto"/>
            </w:tcBorders>
          </w:tcPr>
          <w:p w14:paraId="50ED9EB6" w14:textId="77777777" w:rsidR="003E07D6" w:rsidRPr="00B66512" w:rsidRDefault="003E07D6" w:rsidP="003E07D6">
            <w:pPr>
              <w:autoSpaceDE w:val="0"/>
              <w:autoSpaceDN w:val="0"/>
              <w:adjustRightInd w:val="0"/>
              <w:spacing w:after="0"/>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Фонд заработной платы работников списочного состава организаций и внешних совместителей по полному кругу организаций</w:t>
            </w:r>
          </w:p>
        </w:tc>
        <w:tc>
          <w:tcPr>
            <w:tcW w:w="709" w:type="dxa"/>
            <w:tcBorders>
              <w:top w:val="single" w:sz="4" w:space="0" w:color="auto"/>
              <w:left w:val="single" w:sz="4" w:space="0" w:color="auto"/>
              <w:bottom w:val="single" w:sz="4" w:space="0" w:color="auto"/>
              <w:right w:val="single" w:sz="4" w:space="0" w:color="auto"/>
            </w:tcBorders>
          </w:tcPr>
          <w:p w14:paraId="46EE93AB"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Тыс.</w:t>
            </w:r>
          </w:p>
          <w:p w14:paraId="49A3E202"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14:paraId="2F224D3B"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1338274,20</w:t>
            </w:r>
          </w:p>
        </w:tc>
        <w:tc>
          <w:tcPr>
            <w:tcW w:w="1276" w:type="dxa"/>
            <w:tcBorders>
              <w:top w:val="single" w:sz="4" w:space="0" w:color="auto"/>
              <w:left w:val="single" w:sz="4" w:space="0" w:color="auto"/>
              <w:bottom w:val="single" w:sz="4" w:space="0" w:color="auto"/>
              <w:right w:val="single" w:sz="4" w:space="0" w:color="auto"/>
            </w:tcBorders>
            <w:vAlign w:val="center"/>
          </w:tcPr>
          <w:p w14:paraId="51F9967E" w14:textId="77777777" w:rsidR="003E07D6" w:rsidRPr="00B66512" w:rsidRDefault="003E07D6" w:rsidP="003E07D6">
            <w:pPr>
              <w:autoSpaceDE w:val="0"/>
              <w:autoSpaceDN w:val="0"/>
              <w:adjustRightInd w:val="0"/>
              <w:spacing w:after="0" w:line="240" w:lineRule="auto"/>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1538667,40</w:t>
            </w:r>
          </w:p>
        </w:tc>
        <w:tc>
          <w:tcPr>
            <w:tcW w:w="1276" w:type="dxa"/>
            <w:tcBorders>
              <w:top w:val="single" w:sz="4" w:space="0" w:color="auto"/>
              <w:left w:val="single" w:sz="4" w:space="0" w:color="auto"/>
              <w:bottom w:val="single" w:sz="4" w:space="0" w:color="auto"/>
              <w:right w:val="single" w:sz="4" w:space="0" w:color="auto"/>
            </w:tcBorders>
            <w:vAlign w:val="center"/>
          </w:tcPr>
          <w:p w14:paraId="6F0F333E"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1838707,54</w:t>
            </w:r>
          </w:p>
        </w:tc>
        <w:tc>
          <w:tcPr>
            <w:tcW w:w="1276" w:type="dxa"/>
            <w:tcBorders>
              <w:top w:val="single" w:sz="4" w:space="0" w:color="auto"/>
              <w:left w:val="single" w:sz="4" w:space="0" w:color="auto"/>
              <w:bottom w:val="single" w:sz="4" w:space="0" w:color="auto"/>
              <w:right w:val="single" w:sz="4" w:space="0" w:color="auto"/>
            </w:tcBorders>
            <w:vAlign w:val="center"/>
          </w:tcPr>
          <w:p w14:paraId="352DB8B3"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2000513,80</w:t>
            </w:r>
          </w:p>
        </w:tc>
        <w:tc>
          <w:tcPr>
            <w:tcW w:w="1275" w:type="dxa"/>
            <w:tcBorders>
              <w:top w:val="single" w:sz="4" w:space="0" w:color="auto"/>
              <w:left w:val="single" w:sz="4" w:space="0" w:color="auto"/>
              <w:bottom w:val="single" w:sz="4" w:space="0" w:color="auto"/>
              <w:right w:val="single" w:sz="4" w:space="0" w:color="auto"/>
            </w:tcBorders>
            <w:vAlign w:val="center"/>
          </w:tcPr>
          <w:p w14:paraId="36138983"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2140549,77</w:t>
            </w:r>
          </w:p>
        </w:tc>
        <w:tc>
          <w:tcPr>
            <w:tcW w:w="1276" w:type="dxa"/>
            <w:tcBorders>
              <w:top w:val="single" w:sz="4" w:space="0" w:color="auto"/>
              <w:left w:val="single" w:sz="4" w:space="0" w:color="auto"/>
              <w:bottom w:val="single" w:sz="4" w:space="0" w:color="auto"/>
            </w:tcBorders>
            <w:vAlign w:val="center"/>
          </w:tcPr>
          <w:p w14:paraId="268F424E"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2281826,05</w:t>
            </w:r>
          </w:p>
        </w:tc>
      </w:tr>
      <w:tr w:rsidR="003E07D6" w:rsidRPr="00B66512" w14:paraId="420E7E42" w14:textId="77777777" w:rsidTr="00F848E9">
        <w:trPr>
          <w:trHeight w:val="414"/>
        </w:trPr>
        <w:tc>
          <w:tcPr>
            <w:tcW w:w="1701" w:type="dxa"/>
            <w:tcBorders>
              <w:top w:val="single" w:sz="4" w:space="0" w:color="auto"/>
              <w:bottom w:val="single" w:sz="4" w:space="0" w:color="auto"/>
              <w:right w:val="single" w:sz="4" w:space="0" w:color="auto"/>
            </w:tcBorders>
          </w:tcPr>
          <w:p w14:paraId="5BD1B082" w14:textId="77777777" w:rsidR="003E07D6" w:rsidRPr="00B66512" w:rsidRDefault="003E07D6" w:rsidP="003E07D6">
            <w:pPr>
              <w:autoSpaceDE w:val="0"/>
              <w:autoSpaceDN w:val="0"/>
              <w:adjustRightInd w:val="0"/>
              <w:spacing w:after="0"/>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Темп роста фонда заработной платы работников списочного состава организаций номинальный</w:t>
            </w:r>
          </w:p>
        </w:tc>
        <w:tc>
          <w:tcPr>
            <w:tcW w:w="709" w:type="dxa"/>
            <w:tcBorders>
              <w:top w:val="single" w:sz="4" w:space="0" w:color="auto"/>
              <w:left w:val="single" w:sz="4" w:space="0" w:color="auto"/>
              <w:bottom w:val="single" w:sz="4" w:space="0" w:color="auto"/>
              <w:right w:val="single" w:sz="4" w:space="0" w:color="auto"/>
            </w:tcBorders>
          </w:tcPr>
          <w:p w14:paraId="166D42D2"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8A932B9"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114,33</w:t>
            </w:r>
          </w:p>
        </w:tc>
        <w:tc>
          <w:tcPr>
            <w:tcW w:w="1276" w:type="dxa"/>
            <w:tcBorders>
              <w:top w:val="single" w:sz="4" w:space="0" w:color="auto"/>
              <w:left w:val="single" w:sz="4" w:space="0" w:color="auto"/>
              <w:bottom w:val="single" w:sz="4" w:space="0" w:color="auto"/>
              <w:right w:val="single" w:sz="4" w:space="0" w:color="auto"/>
            </w:tcBorders>
            <w:vAlign w:val="center"/>
          </w:tcPr>
          <w:p w14:paraId="0E0BEB81"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114,97</w:t>
            </w:r>
          </w:p>
        </w:tc>
        <w:tc>
          <w:tcPr>
            <w:tcW w:w="1276" w:type="dxa"/>
            <w:tcBorders>
              <w:top w:val="single" w:sz="4" w:space="0" w:color="auto"/>
              <w:left w:val="single" w:sz="4" w:space="0" w:color="auto"/>
              <w:bottom w:val="single" w:sz="4" w:space="0" w:color="auto"/>
              <w:right w:val="single" w:sz="4" w:space="0" w:color="auto"/>
            </w:tcBorders>
            <w:vAlign w:val="center"/>
          </w:tcPr>
          <w:p w14:paraId="7A5676EC"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119,50</w:t>
            </w:r>
          </w:p>
        </w:tc>
        <w:tc>
          <w:tcPr>
            <w:tcW w:w="1276" w:type="dxa"/>
            <w:tcBorders>
              <w:top w:val="single" w:sz="4" w:space="0" w:color="auto"/>
              <w:left w:val="single" w:sz="4" w:space="0" w:color="auto"/>
              <w:bottom w:val="single" w:sz="4" w:space="0" w:color="auto"/>
              <w:right w:val="single" w:sz="4" w:space="0" w:color="auto"/>
            </w:tcBorders>
            <w:vAlign w:val="center"/>
          </w:tcPr>
          <w:p w14:paraId="621D2B60"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108,80</w:t>
            </w:r>
          </w:p>
        </w:tc>
        <w:tc>
          <w:tcPr>
            <w:tcW w:w="1275" w:type="dxa"/>
            <w:tcBorders>
              <w:top w:val="single" w:sz="4" w:space="0" w:color="auto"/>
              <w:left w:val="single" w:sz="4" w:space="0" w:color="auto"/>
              <w:bottom w:val="single" w:sz="4" w:space="0" w:color="auto"/>
              <w:right w:val="single" w:sz="4" w:space="0" w:color="auto"/>
            </w:tcBorders>
            <w:vAlign w:val="center"/>
          </w:tcPr>
          <w:p w14:paraId="1415F498"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107,00</w:t>
            </w:r>
          </w:p>
        </w:tc>
        <w:tc>
          <w:tcPr>
            <w:tcW w:w="1276" w:type="dxa"/>
            <w:tcBorders>
              <w:top w:val="single" w:sz="4" w:space="0" w:color="auto"/>
              <w:left w:val="single" w:sz="4" w:space="0" w:color="auto"/>
              <w:bottom w:val="single" w:sz="4" w:space="0" w:color="auto"/>
            </w:tcBorders>
            <w:vAlign w:val="center"/>
          </w:tcPr>
          <w:p w14:paraId="29552238"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106,60</w:t>
            </w:r>
          </w:p>
        </w:tc>
      </w:tr>
      <w:tr w:rsidR="003E07D6" w:rsidRPr="00B66512" w14:paraId="46CD2F35" w14:textId="77777777" w:rsidTr="00F848E9">
        <w:trPr>
          <w:trHeight w:val="414"/>
        </w:trPr>
        <w:tc>
          <w:tcPr>
            <w:tcW w:w="1701" w:type="dxa"/>
            <w:tcBorders>
              <w:top w:val="single" w:sz="4" w:space="0" w:color="auto"/>
              <w:bottom w:val="single" w:sz="4" w:space="0" w:color="auto"/>
              <w:right w:val="single" w:sz="4" w:space="0" w:color="auto"/>
            </w:tcBorders>
          </w:tcPr>
          <w:p w14:paraId="410E817E" w14:textId="77777777" w:rsidR="003E07D6" w:rsidRPr="00B66512" w:rsidRDefault="003E07D6" w:rsidP="003E07D6">
            <w:pPr>
              <w:autoSpaceDE w:val="0"/>
              <w:autoSpaceDN w:val="0"/>
              <w:adjustRightInd w:val="0"/>
              <w:spacing w:after="0"/>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Среднемесячная заработная плата</w:t>
            </w:r>
          </w:p>
        </w:tc>
        <w:tc>
          <w:tcPr>
            <w:tcW w:w="709" w:type="dxa"/>
            <w:tcBorders>
              <w:top w:val="single" w:sz="4" w:space="0" w:color="auto"/>
              <w:left w:val="single" w:sz="4" w:space="0" w:color="auto"/>
              <w:bottom w:val="single" w:sz="4" w:space="0" w:color="auto"/>
              <w:right w:val="single" w:sz="4" w:space="0" w:color="auto"/>
            </w:tcBorders>
          </w:tcPr>
          <w:p w14:paraId="648A9E9B"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14:paraId="34F3865D"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42339,73</w:t>
            </w:r>
          </w:p>
        </w:tc>
        <w:tc>
          <w:tcPr>
            <w:tcW w:w="1276" w:type="dxa"/>
            <w:tcBorders>
              <w:top w:val="single" w:sz="4" w:space="0" w:color="auto"/>
              <w:left w:val="single" w:sz="4" w:space="0" w:color="auto"/>
              <w:bottom w:val="single" w:sz="4" w:space="0" w:color="auto"/>
              <w:right w:val="single" w:sz="4" w:space="0" w:color="auto"/>
            </w:tcBorders>
            <w:vAlign w:val="center"/>
          </w:tcPr>
          <w:p w14:paraId="7D766065"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48550,70</w:t>
            </w:r>
          </w:p>
        </w:tc>
        <w:tc>
          <w:tcPr>
            <w:tcW w:w="1276" w:type="dxa"/>
            <w:tcBorders>
              <w:top w:val="single" w:sz="4" w:space="0" w:color="auto"/>
              <w:left w:val="single" w:sz="4" w:space="0" w:color="auto"/>
              <w:bottom w:val="single" w:sz="4" w:space="0" w:color="auto"/>
              <w:right w:val="single" w:sz="4" w:space="0" w:color="auto"/>
            </w:tcBorders>
            <w:vAlign w:val="center"/>
          </w:tcPr>
          <w:p w14:paraId="415CEEE3"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58018,09</w:t>
            </w:r>
          </w:p>
        </w:tc>
        <w:tc>
          <w:tcPr>
            <w:tcW w:w="1276" w:type="dxa"/>
            <w:tcBorders>
              <w:top w:val="single" w:sz="4" w:space="0" w:color="auto"/>
              <w:left w:val="single" w:sz="4" w:space="0" w:color="auto"/>
              <w:bottom w:val="single" w:sz="4" w:space="0" w:color="auto"/>
              <w:right w:val="single" w:sz="4" w:space="0" w:color="auto"/>
            </w:tcBorders>
            <w:vAlign w:val="center"/>
          </w:tcPr>
          <w:p w14:paraId="25455F65"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63123,68</w:t>
            </w:r>
          </w:p>
        </w:tc>
        <w:tc>
          <w:tcPr>
            <w:tcW w:w="1275" w:type="dxa"/>
            <w:tcBorders>
              <w:top w:val="single" w:sz="4" w:space="0" w:color="auto"/>
              <w:left w:val="single" w:sz="4" w:space="0" w:color="auto"/>
              <w:bottom w:val="single" w:sz="4" w:space="0" w:color="auto"/>
              <w:right w:val="single" w:sz="4" w:space="0" w:color="auto"/>
            </w:tcBorders>
            <w:vAlign w:val="center"/>
          </w:tcPr>
          <w:p w14:paraId="716972DD"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67542,34</w:t>
            </w:r>
          </w:p>
        </w:tc>
        <w:tc>
          <w:tcPr>
            <w:tcW w:w="1276" w:type="dxa"/>
            <w:tcBorders>
              <w:top w:val="single" w:sz="4" w:space="0" w:color="auto"/>
              <w:left w:val="single" w:sz="4" w:space="0" w:color="auto"/>
              <w:bottom w:val="single" w:sz="4" w:space="0" w:color="auto"/>
            </w:tcBorders>
            <w:vAlign w:val="center"/>
          </w:tcPr>
          <w:p w14:paraId="75688BEE"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72000,13</w:t>
            </w:r>
          </w:p>
        </w:tc>
      </w:tr>
      <w:tr w:rsidR="003E07D6" w:rsidRPr="00B66512" w14:paraId="6ABC9DA9" w14:textId="77777777" w:rsidTr="00F848E9">
        <w:trPr>
          <w:trHeight w:val="414"/>
        </w:trPr>
        <w:tc>
          <w:tcPr>
            <w:tcW w:w="1701" w:type="dxa"/>
            <w:tcBorders>
              <w:top w:val="single" w:sz="4" w:space="0" w:color="auto"/>
              <w:bottom w:val="single" w:sz="4" w:space="0" w:color="auto"/>
              <w:right w:val="single" w:sz="4" w:space="0" w:color="auto"/>
            </w:tcBorders>
          </w:tcPr>
          <w:p w14:paraId="4898E6EF" w14:textId="77777777" w:rsidR="003E07D6" w:rsidRPr="00B66512" w:rsidRDefault="003E07D6" w:rsidP="003E07D6">
            <w:pPr>
              <w:autoSpaceDE w:val="0"/>
              <w:autoSpaceDN w:val="0"/>
              <w:adjustRightInd w:val="0"/>
              <w:spacing w:after="0"/>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Темп роста среднемесячной заработной платы работников в действующих ценах (номинальный)</w:t>
            </w:r>
          </w:p>
        </w:tc>
        <w:tc>
          <w:tcPr>
            <w:tcW w:w="709" w:type="dxa"/>
            <w:tcBorders>
              <w:top w:val="single" w:sz="4" w:space="0" w:color="auto"/>
              <w:left w:val="single" w:sz="4" w:space="0" w:color="auto"/>
              <w:bottom w:val="single" w:sz="4" w:space="0" w:color="auto"/>
              <w:right w:val="single" w:sz="4" w:space="0" w:color="auto"/>
            </w:tcBorders>
          </w:tcPr>
          <w:p w14:paraId="2CE04122"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2F74D1"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118,67</w:t>
            </w:r>
          </w:p>
        </w:tc>
        <w:tc>
          <w:tcPr>
            <w:tcW w:w="1276" w:type="dxa"/>
            <w:tcBorders>
              <w:top w:val="single" w:sz="4" w:space="0" w:color="auto"/>
              <w:left w:val="single" w:sz="4" w:space="0" w:color="auto"/>
              <w:bottom w:val="single" w:sz="4" w:space="0" w:color="auto"/>
              <w:right w:val="single" w:sz="4" w:space="0" w:color="auto"/>
            </w:tcBorders>
            <w:vAlign w:val="center"/>
          </w:tcPr>
          <w:p w14:paraId="61A149FE"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114,67</w:t>
            </w:r>
          </w:p>
        </w:tc>
        <w:tc>
          <w:tcPr>
            <w:tcW w:w="1276" w:type="dxa"/>
            <w:tcBorders>
              <w:top w:val="single" w:sz="4" w:space="0" w:color="auto"/>
              <w:left w:val="single" w:sz="4" w:space="0" w:color="auto"/>
              <w:bottom w:val="single" w:sz="4" w:space="0" w:color="auto"/>
              <w:right w:val="single" w:sz="4" w:space="0" w:color="auto"/>
            </w:tcBorders>
            <w:vAlign w:val="center"/>
          </w:tcPr>
          <w:p w14:paraId="03A08DD6"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119,50</w:t>
            </w:r>
          </w:p>
        </w:tc>
        <w:tc>
          <w:tcPr>
            <w:tcW w:w="1276" w:type="dxa"/>
            <w:tcBorders>
              <w:top w:val="single" w:sz="4" w:space="0" w:color="auto"/>
              <w:left w:val="single" w:sz="4" w:space="0" w:color="auto"/>
              <w:bottom w:val="single" w:sz="4" w:space="0" w:color="auto"/>
              <w:right w:val="single" w:sz="4" w:space="0" w:color="auto"/>
            </w:tcBorders>
            <w:vAlign w:val="center"/>
          </w:tcPr>
          <w:p w14:paraId="416E082F"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108,80</w:t>
            </w:r>
          </w:p>
        </w:tc>
        <w:tc>
          <w:tcPr>
            <w:tcW w:w="1275" w:type="dxa"/>
            <w:tcBorders>
              <w:top w:val="single" w:sz="4" w:space="0" w:color="auto"/>
              <w:left w:val="single" w:sz="4" w:space="0" w:color="auto"/>
              <w:bottom w:val="single" w:sz="4" w:space="0" w:color="auto"/>
              <w:right w:val="single" w:sz="4" w:space="0" w:color="auto"/>
            </w:tcBorders>
            <w:vAlign w:val="center"/>
          </w:tcPr>
          <w:p w14:paraId="353CCAD1" w14:textId="77777777" w:rsidR="003E07D6" w:rsidRPr="00B66512" w:rsidRDefault="003E07D6" w:rsidP="003E07D6">
            <w:pPr>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107,00</w:t>
            </w:r>
          </w:p>
        </w:tc>
        <w:tc>
          <w:tcPr>
            <w:tcW w:w="1276" w:type="dxa"/>
            <w:tcBorders>
              <w:top w:val="single" w:sz="4" w:space="0" w:color="auto"/>
              <w:left w:val="single" w:sz="4" w:space="0" w:color="auto"/>
              <w:bottom w:val="single" w:sz="4" w:space="0" w:color="auto"/>
            </w:tcBorders>
            <w:vAlign w:val="center"/>
          </w:tcPr>
          <w:p w14:paraId="783D824C" w14:textId="77777777" w:rsidR="003E07D6" w:rsidRPr="00B66512" w:rsidRDefault="003E07D6" w:rsidP="003E07D6">
            <w:pPr>
              <w:tabs>
                <w:tab w:val="left" w:pos="1025"/>
              </w:tabs>
              <w:autoSpaceDE w:val="0"/>
              <w:autoSpaceDN w:val="0"/>
              <w:adjustRightInd w:val="0"/>
              <w:spacing w:after="0"/>
              <w:jc w:val="center"/>
              <w:rPr>
                <w:rFonts w:ascii="Times New Roman CYR" w:hAnsi="Times New Roman CYR" w:cs="Times New Roman CYR"/>
                <w:sz w:val="20"/>
                <w:szCs w:val="20"/>
                <w:lang w:eastAsia="en-US"/>
              </w:rPr>
            </w:pPr>
            <w:r w:rsidRPr="00B66512">
              <w:rPr>
                <w:rFonts w:ascii="Times New Roman CYR" w:hAnsi="Times New Roman CYR" w:cs="Times New Roman CYR"/>
                <w:sz w:val="20"/>
                <w:szCs w:val="20"/>
                <w:lang w:eastAsia="en-US"/>
              </w:rPr>
              <w:t>106,40</w:t>
            </w:r>
          </w:p>
        </w:tc>
      </w:tr>
    </w:tbl>
    <w:p w14:paraId="60F94691" w14:textId="77777777" w:rsidR="008A3F89" w:rsidRPr="00B66512" w:rsidRDefault="008A3F89" w:rsidP="00DD69E3">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14:paraId="56151146"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Среднедушевые доходы населения в действующих ценах имеют </w:t>
      </w:r>
      <w:r w:rsidRPr="00B66512">
        <w:rPr>
          <w:rFonts w:ascii="Times New Roman CYR" w:hAnsi="Times New Roman CYR" w:cs="Times New Roman CYR"/>
          <w:sz w:val="28"/>
          <w:szCs w:val="28"/>
        </w:rPr>
        <w:lastRenderedPageBreak/>
        <w:t xml:space="preserve">тенденцию к увеличению.  За фактический период 2023 года  составили 24 437,23 рублей (в действующих ценах темп роста 116,6 % к предыдущему году).  По оценке 2024 года ожидается увеличение на 19,50% и составит 29202,49 рублей. В прогнозируемом периоде 2025-2027 годах планируется с ежегодным ростом: в 2025 г – 8,8%, в 2026 г. – 7,0% и в 2027 г. – 6,6%.  На рост денежных доходов в номинальном выражении в  первую очередь  повлияло  повышение пенсий, социальных выплат населению, заработной платы производственной и непроизводственной сферы.  </w:t>
      </w:r>
    </w:p>
    <w:p w14:paraId="01449A27"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Основным источником формирования денежных доходов населения района является оплата труда (предположительно более 60 % денежных доходов населения).</w:t>
      </w:r>
    </w:p>
    <w:p w14:paraId="3FDA76FA"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 2023 году фонд заработной платы, начисленной работникам организаций  составил 1538667,40 тыс. рублей и увеличился на 14,97 % по сравнению предыдущим периодом  2022 года, по оценке 2024 года ожидается с увеличением на 19,50%, в прогнозируемом периоде 2025-2027 годах рост фонда заработной платы составит в 2025 г. – 8,80%, в 2026 г. – 7,00%, в 2027 г. – 6,60%. </w:t>
      </w:r>
    </w:p>
    <w:p w14:paraId="3B132020"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Среднемесячная заработная плата работников организаций составила 48550,70 рублей (номинально 114,67 % к 2022 году).</w:t>
      </w:r>
    </w:p>
    <w:p w14:paraId="67C43F9E"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Увеличение произошло за счет повышения оплаты труда  работников бюджетной сферы (выполнение Указов Президента РФ и поручений Губернатора по отдельным категориям работников), повышения МРОТ.</w:t>
      </w:r>
    </w:p>
    <w:p w14:paraId="6EC981FD"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По оценке за 2024 год среднемесячная начисленная заработная плата достигнет 58018,09 рублей, что выше уровня 2023 года на 19,50%. В прогнозируемом периоде в 2025 году составит 63123,68 руб. по отношению к 2024 году увеличится номинально на 8,80%., в 2026 году – 67 542,34, увеличится на 7,00% к уровню 2025 года, в 2027 году – 72000,13, увеличится на 6,40% к уровню 2026 года.</w:t>
      </w:r>
    </w:p>
    <w:p w14:paraId="438CAED6"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Уровень заработной платы в районе существенно отличается по отраслям.</w:t>
      </w:r>
    </w:p>
    <w:p w14:paraId="071C1F30"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Среднемесячная начисленная заработная плата в бюджетной сфере в  2023 году составила:</w:t>
      </w:r>
    </w:p>
    <w:p w14:paraId="5CE526F0"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 работников муниципальных дошкольных образовательных учреждений по сравнению с соответствующим периодом прошлого года увеличилась на 14,85%  и составила 35986,30 рублей;</w:t>
      </w:r>
    </w:p>
    <w:p w14:paraId="5E13AF5C"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 работников муниципальных общеобразовательных учреждений среднемесячная номинальная начисленная заработная плата за 2023 год составила 47423,80 рублей и увеличилась по сравнению с 2022 годом на 11,36%;  </w:t>
      </w:r>
    </w:p>
    <w:p w14:paraId="343B4506"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 работников муниципальных учреждений культуры и искусства за 2023 год составила 47470,30  рублей и  увеличилась по сравнению с 2022 годом на 20,16 %; </w:t>
      </w:r>
    </w:p>
    <w:p w14:paraId="60D3C088"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 работников муниципальных учреждений физической культуры и спорта в 2023 году составила 39361,00 рублей и увеличилась на 31,31% по сравнению с </w:t>
      </w:r>
      <w:r w:rsidRPr="00B66512">
        <w:rPr>
          <w:rFonts w:ascii="Times New Roman CYR" w:hAnsi="Times New Roman CYR" w:cs="Times New Roman CYR"/>
          <w:sz w:val="28"/>
          <w:szCs w:val="28"/>
        </w:rPr>
        <w:lastRenderedPageBreak/>
        <w:t>прошлым 2022 годом.</w:t>
      </w:r>
    </w:p>
    <w:p w14:paraId="368E1AF1" w14:textId="77777777" w:rsidR="003E07D6" w:rsidRPr="00B66512" w:rsidRDefault="003E07D6" w:rsidP="003E07D6">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B66512">
        <w:rPr>
          <w:rFonts w:ascii="Times New Roman CYR" w:hAnsi="Times New Roman CYR" w:cs="Times New Roman CYR"/>
          <w:sz w:val="28"/>
          <w:szCs w:val="28"/>
        </w:rPr>
        <w:t>По данным Красноярскстата на 31 декабря 2023 года задолженности по заработной плате перед работниками организаций не имелось.</w:t>
      </w:r>
    </w:p>
    <w:p w14:paraId="04AC5ADC"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63264C16"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b/>
          <w:bCs/>
          <w:color w:val="000000"/>
          <w:sz w:val="28"/>
          <w:szCs w:val="28"/>
        </w:rPr>
      </w:pPr>
      <w:r w:rsidRPr="00B66512">
        <w:rPr>
          <w:rFonts w:ascii="Times New Roman CYR" w:hAnsi="Times New Roman CYR" w:cs="Times New Roman CYR"/>
          <w:b/>
          <w:bCs/>
          <w:color w:val="000000"/>
          <w:sz w:val="28"/>
          <w:szCs w:val="28"/>
        </w:rPr>
        <w:t>14. Рынок труда</w:t>
      </w:r>
    </w:p>
    <w:p w14:paraId="4F41E19A" w14:textId="77777777" w:rsidR="00DD69E3" w:rsidRPr="00B66512" w:rsidRDefault="00DD69E3">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2D78A338" w14:textId="77777777" w:rsidR="00B8039B" w:rsidRPr="00B66512" w:rsidRDefault="00B8039B" w:rsidP="00B8039B">
      <w:pPr>
        <w:autoSpaceDE w:val="0"/>
        <w:autoSpaceDN w:val="0"/>
        <w:adjustRightInd w:val="0"/>
        <w:spacing w:after="0" w:line="240" w:lineRule="auto"/>
        <w:ind w:firstLine="709"/>
        <w:jc w:val="both"/>
        <w:rPr>
          <w:rFonts w:ascii="Times New Roman" w:hAnsi="Times New Roman"/>
          <w:sz w:val="28"/>
          <w:szCs w:val="28"/>
        </w:rPr>
      </w:pPr>
      <w:bookmarkStart w:id="0" w:name="_Toc177304555"/>
      <w:r w:rsidRPr="00B66512">
        <w:rPr>
          <w:rFonts w:ascii="Times New Roman" w:hAnsi="Times New Roman"/>
          <w:sz w:val="28"/>
          <w:szCs w:val="28"/>
        </w:rPr>
        <w:t>Прогноз численности трудовых ресурсов рассчитывался с учетом демографического фактора, а также сложившихся тенденций в районе  формирования и использования трудовых ресурсов.</w:t>
      </w:r>
    </w:p>
    <w:p w14:paraId="081A5FC2" w14:textId="77777777" w:rsidR="00B8039B" w:rsidRPr="00B66512" w:rsidRDefault="00B8039B" w:rsidP="00B8039B">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 xml:space="preserve">Численность трудовых ресурсов в среднем за период в отчетном 2023 году составила 6688  человек и  уменьшилась на 3 человека к соответствующему периоду предыдущего 2022 года. По оценке 2024 года  ожидается рост к уровню 2023 г.  на 2 чел., в  прогнозируемом периоде 2025 г. рост  на 8 чел., в 2026 г. на 6 чел., в 2027 г. на 8 чел. к соответствующему периоду прошлого года. </w:t>
      </w:r>
    </w:p>
    <w:p w14:paraId="76D842BB" w14:textId="77777777" w:rsidR="00B8039B" w:rsidRPr="00B66512" w:rsidRDefault="00B8039B" w:rsidP="00B8039B">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 xml:space="preserve">В фактическом периоде 2023 года в экономике района было занято 4595 человек, увеличение на 4 человека по сравнению с соответствующим периодом прошлого года. В прогнозном периоде ожидается рост численности занятых в экономике и в 2027 году составит 4624 чел. Влияние на рост показателя окажут мероприятия направленные на сокращение безработицы. </w:t>
      </w:r>
    </w:p>
    <w:p w14:paraId="6184F50B" w14:textId="77777777" w:rsidR="00B8039B" w:rsidRPr="00B66512" w:rsidRDefault="00B8039B" w:rsidP="00B8039B">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В 2023 году фактический уровень безработицы составил 3,0%. По оценке 2024 года ожидается уровень 2,9%.  Прогноз на 2025-2027 гг. – 2,9%.</w:t>
      </w:r>
    </w:p>
    <w:p w14:paraId="44B9A39A" w14:textId="77777777" w:rsidR="00B8039B" w:rsidRPr="00B66512" w:rsidRDefault="00B8039B" w:rsidP="00B8039B">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Будет продолжена работа по снижению уровня безработицы за счет создания новых рабочих мест и сохранение ранее созданных мест хозяйствующими субъектами в результате участия в государственных и муниципальных программах.</w:t>
      </w:r>
    </w:p>
    <w:p w14:paraId="20C62769" w14:textId="77777777" w:rsidR="00B8039B" w:rsidRDefault="00B8039B" w:rsidP="00B8039B">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Среднесписочная численность работников списочного состава организаций без внешних совместителей по полному кругу за фактический период составила 2641 человека и увеличилась по сравнению с предыдущим годом на 7 человек. По оценке 2024 года среднесписочная  численность  работников ожидается 2646 человек, на прогнозируемый период 2025-2027 гг. планируется 2661 человек и увеличится к фактическому периоду 2023 года на 20 человек.</w:t>
      </w:r>
    </w:p>
    <w:p w14:paraId="6CE2A02A" w14:textId="77777777" w:rsidR="008343F5" w:rsidRDefault="008343F5" w:rsidP="00B8039B">
      <w:pPr>
        <w:autoSpaceDE w:val="0"/>
        <w:autoSpaceDN w:val="0"/>
        <w:adjustRightInd w:val="0"/>
        <w:spacing w:after="0" w:line="240" w:lineRule="auto"/>
        <w:ind w:firstLine="709"/>
        <w:jc w:val="both"/>
        <w:rPr>
          <w:rFonts w:ascii="Times New Roman" w:hAnsi="Times New Roman"/>
          <w:sz w:val="28"/>
          <w:szCs w:val="28"/>
        </w:rPr>
      </w:pPr>
    </w:p>
    <w:p w14:paraId="4D274DDD" w14:textId="77777777" w:rsidR="008343F5" w:rsidRPr="00B66512" w:rsidRDefault="008343F5" w:rsidP="00B8039B">
      <w:pPr>
        <w:autoSpaceDE w:val="0"/>
        <w:autoSpaceDN w:val="0"/>
        <w:adjustRightInd w:val="0"/>
        <w:spacing w:after="0" w:line="240" w:lineRule="auto"/>
        <w:ind w:firstLine="709"/>
        <w:jc w:val="both"/>
        <w:rPr>
          <w:rFonts w:ascii="Times New Roman" w:hAnsi="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113"/>
        <w:gridCol w:w="800"/>
        <w:gridCol w:w="925"/>
        <w:gridCol w:w="1001"/>
        <w:gridCol w:w="1027"/>
        <w:gridCol w:w="1027"/>
        <w:gridCol w:w="1071"/>
      </w:tblGrid>
      <w:tr w:rsidR="00B8039B" w:rsidRPr="00B66512" w14:paraId="44434732" w14:textId="77777777" w:rsidTr="00F848E9">
        <w:trPr>
          <w:trHeight w:val="300"/>
        </w:trPr>
        <w:tc>
          <w:tcPr>
            <w:tcW w:w="2520" w:type="dxa"/>
            <w:vMerge w:val="restart"/>
            <w:tcBorders>
              <w:top w:val="single" w:sz="4" w:space="0" w:color="auto"/>
              <w:bottom w:val="single" w:sz="4" w:space="0" w:color="auto"/>
              <w:right w:val="single" w:sz="4" w:space="0" w:color="auto"/>
            </w:tcBorders>
          </w:tcPr>
          <w:p w14:paraId="77E2F29F"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Наименование показателя</w:t>
            </w:r>
          </w:p>
          <w:p w14:paraId="5882A7B6" w14:textId="77777777" w:rsidR="00B8039B" w:rsidRPr="00B66512" w:rsidRDefault="00B8039B" w:rsidP="00B8039B">
            <w:pPr>
              <w:autoSpaceDE w:val="0"/>
              <w:autoSpaceDN w:val="0"/>
              <w:adjustRightInd w:val="0"/>
              <w:spacing w:after="0" w:line="240" w:lineRule="auto"/>
              <w:ind w:left="-288"/>
              <w:rPr>
                <w:rFonts w:ascii="Times New Roman CYR" w:hAnsi="Times New Roman CYR" w:cs="Times New Roman CYR"/>
                <w:sz w:val="24"/>
                <w:szCs w:val="24"/>
                <w:lang w:eastAsia="en-US"/>
              </w:rPr>
            </w:pPr>
          </w:p>
          <w:p w14:paraId="2768C4F7" w14:textId="77777777" w:rsidR="00B8039B" w:rsidRPr="00B66512" w:rsidRDefault="00B8039B" w:rsidP="00B8039B">
            <w:pPr>
              <w:autoSpaceDE w:val="0"/>
              <w:autoSpaceDN w:val="0"/>
              <w:adjustRightInd w:val="0"/>
              <w:spacing w:after="0" w:line="240" w:lineRule="auto"/>
              <w:ind w:left="900"/>
              <w:rPr>
                <w:rFonts w:ascii="Times New Roman CYR" w:hAnsi="Times New Roman CYR" w:cs="Times New Roman CYR"/>
                <w:sz w:val="24"/>
                <w:szCs w:val="24"/>
                <w:lang w:eastAsia="en-US"/>
              </w:rPr>
            </w:pPr>
          </w:p>
        </w:tc>
        <w:tc>
          <w:tcPr>
            <w:tcW w:w="1113" w:type="dxa"/>
            <w:vMerge w:val="restart"/>
            <w:tcBorders>
              <w:top w:val="single" w:sz="4" w:space="0" w:color="auto"/>
              <w:left w:val="single" w:sz="4" w:space="0" w:color="auto"/>
              <w:bottom w:val="single" w:sz="4" w:space="0" w:color="auto"/>
              <w:right w:val="single" w:sz="4" w:space="0" w:color="auto"/>
            </w:tcBorders>
          </w:tcPr>
          <w:p w14:paraId="7958F505"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Единица</w:t>
            </w:r>
          </w:p>
          <w:p w14:paraId="64BCB0FB"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измерен.</w:t>
            </w:r>
          </w:p>
          <w:p w14:paraId="35DE8A3D"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p>
        </w:tc>
        <w:tc>
          <w:tcPr>
            <w:tcW w:w="5851" w:type="dxa"/>
            <w:gridSpan w:val="6"/>
            <w:tcBorders>
              <w:top w:val="single" w:sz="4" w:space="0" w:color="auto"/>
              <w:left w:val="nil"/>
              <w:bottom w:val="single" w:sz="4" w:space="0" w:color="auto"/>
            </w:tcBorders>
          </w:tcPr>
          <w:p w14:paraId="356A2612"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Годы</w:t>
            </w:r>
          </w:p>
        </w:tc>
      </w:tr>
      <w:tr w:rsidR="00B8039B" w:rsidRPr="00B66512" w14:paraId="57970506" w14:textId="77777777" w:rsidTr="00F848E9">
        <w:trPr>
          <w:trHeight w:val="810"/>
        </w:trPr>
        <w:tc>
          <w:tcPr>
            <w:tcW w:w="2520" w:type="dxa"/>
            <w:vMerge/>
            <w:tcBorders>
              <w:top w:val="single" w:sz="4" w:space="0" w:color="auto"/>
              <w:bottom w:val="single" w:sz="4" w:space="0" w:color="auto"/>
              <w:right w:val="single" w:sz="4" w:space="0" w:color="auto"/>
            </w:tcBorders>
          </w:tcPr>
          <w:p w14:paraId="640F2E04" w14:textId="77777777" w:rsidR="00B8039B" w:rsidRPr="00B66512" w:rsidRDefault="00B8039B" w:rsidP="00B8039B">
            <w:pPr>
              <w:autoSpaceDE w:val="0"/>
              <w:autoSpaceDN w:val="0"/>
              <w:adjustRightInd w:val="0"/>
              <w:spacing w:after="0" w:line="240" w:lineRule="auto"/>
              <w:ind w:left="900"/>
              <w:rPr>
                <w:rFonts w:ascii="Times New Roman CYR" w:hAnsi="Times New Roman CYR" w:cs="Times New Roman CYR"/>
                <w:sz w:val="24"/>
                <w:szCs w:val="24"/>
                <w:lang w:eastAsia="en-US"/>
              </w:rPr>
            </w:pPr>
          </w:p>
        </w:tc>
        <w:tc>
          <w:tcPr>
            <w:tcW w:w="1113" w:type="dxa"/>
            <w:vMerge/>
            <w:tcBorders>
              <w:top w:val="single" w:sz="4" w:space="0" w:color="auto"/>
              <w:left w:val="single" w:sz="4" w:space="0" w:color="auto"/>
              <w:bottom w:val="single" w:sz="4" w:space="0" w:color="auto"/>
              <w:right w:val="single" w:sz="4" w:space="0" w:color="auto"/>
            </w:tcBorders>
          </w:tcPr>
          <w:p w14:paraId="35653C06"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p>
        </w:tc>
        <w:tc>
          <w:tcPr>
            <w:tcW w:w="800" w:type="dxa"/>
            <w:tcBorders>
              <w:top w:val="single" w:sz="4" w:space="0" w:color="auto"/>
              <w:left w:val="single" w:sz="4" w:space="0" w:color="auto"/>
              <w:bottom w:val="single" w:sz="4" w:space="0" w:color="auto"/>
              <w:right w:val="single" w:sz="4" w:space="0" w:color="auto"/>
            </w:tcBorders>
          </w:tcPr>
          <w:p w14:paraId="07BC9397"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2022</w:t>
            </w:r>
          </w:p>
          <w:p w14:paraId="6876C06D"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отчет</w:t>
            </w:r>
          </w:p>
        </w:tc>
        <w:tc>
          <w:tcPr>
            <w:tcW w:w="925" w:type="dxa"/>
            <w:tcBorders>
              <w:top w:val="single" w:sz="4" w:space="0" w:color="auto"/>
              <w:left w:val="single" w:sz="4" w:space="0" w:color="auto"/>
              <w:bottom w:val="single" w:sz="4" w:space="0" w:color="auto"/>
              <w:right w:val="single" w:sz="4" w:space="0" w:color="auto"/>
            </w:tcBorders>
          </w:tcPr>
          <w:p w14:paraId="2EC0F4C2"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2023</w:t>
            </w:r>
          </w:p>
          <w:p w14:paraId="3B7A842E"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отчет</w:t>
            </w:r>
          </w:p>
        </w:tc>
        <w:tc>
          <w:tcPr>
            <w:tcW w:w="1001" w:type="dxa"/>
            <w:tcBorders>
              <w:top w:val="single" w:sz="4" w:space="0" w:color="auto"/>
              <w:left w:val="single" w:sz="4" w:space="0" w:color="auto"/>
              <w:bottom w:val="single" w:sz="4" w:space="0" w:color="auto"/>
              <w:right w:val="single" w:sz="4" w:space="0" w:color="auto"/>
            </w:tcBorders>
          </w:tcPr>
          <w:p w14:paraId="662D9A0C"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2024</w:t>
            </w:r>
          </w:p>
          <w:p w14:paraId="7E7BA72E"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оценка</w:t>
            </w:r>
          </w:p>
        </w:tc>
        <w:tc>
          <w:tcPr>
            <w:tcW w:w="1027" w:type="dxa"/>
            <w:tcBorders>
              <w:top w:val="single" w:sz="4" w:space="0" w:color="auto"/>
              <w:left w:val="single" w:sz="4" w:space="0" w:color="auto"/>
              <w:bottom w:val="single" w:sz="4" w:space="0" w:color="auto"/>
              <w:right w:val="single" w:sz="4" w:space="0" w:color="auto"/>
            </w:tcBorders>
          </w:tcPr>
          <w:p w14:paraId="68C99455"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2025</w:t>
            </w:r>
          </w:p>
          <w:p w14:paraId="184C6E34"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tc>
        <w:tc>
          <w:tcPr>
            <w:tcW w:w="1027" w:type="dxa"/>
            <w:tcBorders>
              <w:top w:val="single" w:sz="4" w:space="0" w:color="auto"/>
              <w:left w:val="single" w:sz="4" w:space="0" w:color="auto"/>
              <w:bottom w:val="single" w:sz="4" w:space="0" w:color="auto"/>
              <w:right w:val="single" w:sz="4" w:space="0" w:color="auto"/>
            </w:tcBorders>
          </w:tcPr>
          <w:p w14:paraId="472C74E4"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2026</w:t>
            </w:r>
          </w:p>
          <w:p w14:paraId="0F8D2AEB"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tc>
        <w:tc>
          <w:tcPr>
            <w:tcW w:w="1071" w:type="dxa"/>
            <w:tcBorders>
              <w:top w:val="single" w:sz="4" w:space="0" w:color="auto"/>
              <w:left w:val="single" w:sz="4" w:space="0" w:color="auto"/>
              <w:bottom w:val="single" w:sz="4" w:space="0" w:color="auto"/>
            </w:tcBorders>
          </w:tcPr>
          <w:p w14:paraId="35B435EA"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2027</w:t>
            </w:r>
          </w:p>
          <w:p w14:paraId="5D8522DB" w14:textId="77777777" w:rsidR="00B8039B" w:rsidRPr="00B66512" w:rsidRDefault="00B8039B" w:rsidP="00B8039B">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tc>
      </w:tr>
      <w:tr w:rsidR="00B8039B" w:rsidRPr="00B66512" w14:paraId="310DCC03" w14:textId="77777777" w:rsidTr="00F848E9">
        <w:trPr>
          <w:trHeight w:val="345"/>
        </w:trPr>
        <w:tc>
          <w:tcPr>
            <w:tcW w:w="2520" w:type="dxa"/>
            <w:tcBorders>
              <w:top w:val="single" w:sz="4" w:space="0" w:color="auto"/>
              <w:bottom w:val="single" w:sz="4" w:space="0" w:color="auto"/>
              <w:right w:val="single" w:sz="4" w:space="0" w:color="auto"/>
            </w:tcBorders>
          </w:tcPr>
          <w:p w14:paraId="57A88C5F" w14:textId="77777777" w:rsidR="00B8039B" w:rsidRPr="00B66512" w:rsidRDefault="00B8039B" w:rsidP="00B8039B">
            <w:pPr>
              <w:autoSpaceDE w:val="0"/>
              <w:autoSpaceDN w:val="0"/>
              <w:adjustRightInd w:val="0"/>
              <w:spacing w:after="0" w:line="240" w:lineRule="auto"/>
              <w:ind w:left="72" w:hanging="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Численность трудовых ресурсов в среднем за период</w:t>
            </w:r>
          </w:p>
        </w:tc>
        <w:tc>
          <w:tcPr>
            <w:tcW w:w="1113" w:type="dxa"/>
            <w:tcBorders>
              <w:top w:val="single" w:sz="4" w:space="0" w:color="auto"/>
              <w:left w:val="single" w:sz="4" w:space="0" w:color="auto"/>
              <w:bottom w:val="single" w:sz="4" w:space="0" w:color="auto"/>
              <w:right w:val="single" w:sz="4" w:space="0" w:color="auto"/>
            </w:tcBorders>
            <w:vAlign w:val="center"/>
          </w:tcPr>
          <w:p w14:paraId="781E0681" w14:textId="77777777" w:rsidR="00B8039B" w:rsidRPr="00B66512" w:rsidRDefault="00B8039B" w:rsidP="00B8039B">
            <w:pPr>
              <w:autoSpaceDE w:val="0"/>
              <w:autoSpaceDN w:val="0"/>
              <w:adjustRightInd w:val="0"/>
              <w:spacing w:after="0" w:line="240" w:lineRule="auto"/>
              <w:ind w:left="72"/>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тыс. чел.</w:t>
            </w:r>
          </w:p>
        </w:tc>
        <w:tc>
          <w:tcPr>
            <w:tcW w:w="800" w:type="dxa"/>
            <w:tcBorders>
              <w:top w:val="single" w:sz="4" w:space="0" w:color="auto"/>
              <w:left w:val="single" w:sz="4" w:space="0" w:color="auto"/>
              <w:bottom w:val="single" w:sz="4" w:space="0" w:color="auto"/>
              <w:right w:val="single" w:sz="4" w:space="0" w:color="auto"/>
            </w:tcBorders>
            <w:vAlign w:val="center"/>
          </w:tcPr>
          <w:p w14:paraId="32EC7594"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6,691</w:t>
            </w:r>
          </w:p>
        </w:tc>
        <w:tc>
          <w:tcPr>
            <w:tcW w:w="925" w:type="dxa"/>
            <w:tcBorders>
              <w:top w:val="single" w:sz="4" w:space="0" w:color="auto"/>
              <w:left w:val="single" w:sz="4" w:space="0" w:color="auto"/>
              <w:bottom w:val="single" w:sz="4" w:space="0" w:color="auto"/>
              <w:right w:val="single" w:sz="4" w:space="0" w:color="auto"/>
            </w:tcBorders>
            <w:vAlign w:val="center"/>
          </w:tcPr>
          <w:p w14:paraId="34678C34"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6,688</w:t>
            </w:r>
          </w:p>
        </w:tc>
        <w:tc>
          <w:tcPr>
            <w:tcW w:w="1001" w:type="dxa"/>
            <w:tcBorders>
              <w:top w:val="single" w:sz="4" w:space="0" w:color="auto"/>
              <w:left w:val="single" w:sz="4" w:space="0" w:color="auto"/>
              <w:bottom w:val="single" w:sz="4" w:space="0" w:color="auto"/>
              <w:right w:val="single" w:sz="4" w:space="0" w:color="auto"/>
            </w:tcBorders>
            <w:vAlign w:val="center"/>
          </w:tcPr>
          <w:p w14:paraId="037A6DC7"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6,690</w:t>
            </w:r>
          </w:p>
        </w:tc>
        <w:tc>
          <w:tcPr>
            <w:tcW w:w="1027" w:type="dxa"/>
            <w:tcBorders>
              <w:top w:val="single" w:sz="4" w:space="0" w:color="auto"/>
              <w:left w:val="single" w:sz="4" w:space="0" w:color="auto"/>
              <w:bottom w:val="single" w:sz="4" w:space="0" w:color="auto"/>
              <w:right w:val="single" w:sz="4" w:space="0" w:color="auto"/>
            </w:tcBorders>
            <w:vAlign w:val="center"/>
          </w:tcPr>
          <w:p w14:paraId="0AD21854"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6,698</w:t>
            </w:r>
          </w:p>
        </w:tc>
        <w:tc>
          <w:tcPr>
            <w:tcW w:w="1027" w:type="dxa"/>
            <w:tcBorders>
              <w:top w:val="single" w:sz="4" w:space="0" w:color="auto"/>
              <w:left w:val="single" w:sz="4" w:space="0" w:color="auto"/>
              <w:bottom w:val="single" w:sz="4" w:space="0" w:color="auto"/>
              <w:right w:val="single" w:sz="4" w:space="0" w:color="auto"/>
            </w:tcBorders>
            <w:vAlign w:val="center"/>
          </w:tcPr>
          <w:p w14:paraId="38FC085C"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6,704</w:t>
            </w:r>
          </w:p>
        </w:tc>
        <w:tc>
          <w:tcPr>
            <w:tcW w:w="1071" w:type="dxa"/>
            <w:tcBorders>
              <w:top w:val="single" w:sz="4" w:space="0" w:color="auto"/>
              <w:left w:val="single" w:sz="4" w:space="0" w:color="auto"/>
              <w:bottom w:val="single" w:sz="4" w:space="0" w:color="auto"/>
            </w:tcBorders>
            <w:vAlign w:val="center"/>
          </w:tcPr>
          <w:p w14:paraId="37D993F4"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6,712</w:t>
            </w:r>
          </w:p>
        </w:tc>
      </w:tr>
      <w:tr w:rsidR="00B8039B" w:rsidRPr="00B66512" w14:paraId="1C1D36E7" w14:textId="77777777" w:rsidTr="00F848E9">
        <w:trPr>
          <w:trHeight w:val="345"/>
        </w:trPr>
        <w:tc>
          <w:tcPr>
            <w:tcW w:w="2520" w:type="dxa"/>
            <w:tcBorders>
              <w:top w:val="single" w:sz="4" w:space="0" w:color="auto"/>
              <w:bottom w:val="single" w:sz="4" w:space="0" w:color="auto"/>
              <w:right w:val="single" w:sz="4" w:space="0" w:color="auto"/>
            </w:tcBorders>
          </w:tcPr>
          <w:p w14:paraId="795856CB" w14:textId="77777777" w:rsidR="00B8039B" w:rsidRPr="00B66512" w:rsidRDefault="00B8039B" w:rsidP="00B8039B">
            <w:pPr>
              <w:autoSpaceDE w:val="0"/>
              <w:autoSpaceDN w:val="0"/>
              <w:adjustRightInd w:val="0"/>
              <w:spacing w:after="0" w:line="240" w:lineRule="auto"/>
              <w:ind w:left="72" w:hanging="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lastRenderedPageBreak/>
              <w:t>Темп роста в действующих ценах, к соответствующему периоду предыдущего года</w:t>
            </w:r>
          </w:p>
        </w:tc>
        <w:tc>
          <w:tcPr>
            <w:tcW w:w="1113" w:type="dxa"/>
            <w:tcBorders>
              <w:top w:val="single" w:sz="4" w:space="0" w:color="auto"/>
              <w:left w:val="single" w:sz="4" w:space="0" w:color="auto"/>
              <w:bottom w:val="single" w:sz="4" w:space="0" w:color="auto"/>
              <w:right w:val="single" w:sz="4" w:space="0" w:color="auto"/>
            </w:tcBorders>
            <w:vAlign w:val="center"/>
          </w:tcPr>
          <w:p w14:paraId="4D06A36E" w14:textId="77777777" w:rsidR="00B8039B" w:rsidRPr="00B66512" w:rsidRDefault="00B8039B" w:rsidP="00B8039B">
            <w:pPr>
              <w:autoSpaceDE w:val="0"/>
              <w:autoSpaceDN w:val="0"/>
              <w:adjustRightInd w:val="0"/>
              <w:spacing w:after="0" w:line="240" w:lineRule="auto"/>
              <w:ind w:left="72"/>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w:t>
            </w:r>
          </w:p>
        </w:tc>
        <w:tc>
          <w:tcPr>
            <w:tcW w:w="800" w:type="dxa"/>
            <w:tcBorders>
              <w:top w:val="single" w:sz="4" w:space="0" w:color="auto"/>
              <w:left w:val="single" w:sz="4" w:space="0" w:color="auto"/>
              <w:bottom w:val="single" w:sz="4" w:space="0" w:color="auto"/>
              <w:right w:val="single" w:sz="4" w:space="0" w:color="auto"/>
            </w:tcBorders>
            <w:vAlign w:val="center"/>
          </w:tcPr>
          <w:p w14:paraId="12B88C34"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val="en-US" w:eastAsia="en-US"/>
              </w:rPr>
            </w:pPr>
            <w:r w:rsidRPr="00B66512">
              <w:rPr>
                <w:rFonts w:ascii="Times New Roman CYR" w:hAnsi="Times New Roman CYR" w:cs="Times New Roman CYR"/>
                <w:sz w:val="24"/>
                <w:szCs w:val="24"/>
                <w:lang w:val="en-US" w:eastAsia="en-US"/>
              </w:rPr>
              <w:t>X</w:t>
            </w:r>
          </w:p>
        </w:tc>
        <w:tc>
          <w:tcPr>
            <w:tcW w:w="925" w:type="dxa"/>
            <w:tcBorders>
              <w:top w:val="single" w:sz="4" w:space="0" w:color="auto"/>
              <w:left w:val="single" w:sz="4" w:space="0" w:color="auto"/>
              <w:bottom w:val="single" w:sz="4" w:space="0" w:color="auto"/>
              <w:right w:val="single" w:sz="4" w:space="0" w:color="auto"/>
            </w:tcBorders>
            <w:vAlign w:val="center"/>
          </w:tcPr>
          <w:p w14:paraId="4CE7672E"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val="en-US" w:eastAsia="en-US"/>
              </w:rPr>
            </w:pPr>
            <w:r w:rsidRPr="00B66512">
              <w:rPr>
                <w:rFonts w:ascii="Times New Roman CYR" w:hAnsi="Times New Roman CYR" w:cs="Times New Roman CYR"/>
                <w:sz w:val="24"/>
                <w:szCs w:val="24"/>
                <w:lang w:eastAsia="en-US"/>
              </w:rPr>
              <w:t>99,96</w:t>
            </w:r>
          </w:p>
        </w:tc>
        <w:tc>
          <w:tcPr>
            <w:tcW w:w="1001" w:type="dxa"/>
            <w:tcBorders>
              <w:top w:val="single" w:sz="4" w:space="0" w:color="auto"/>
              <w:left w:val="single" w:sz="4" w:space="0" w:color="auto"/>
              <w:bottom w:val="single" w:sz="4" w:space="0" w:color="auto"/>
              <w:right w:val="single" w:sz="4" w:space="0" w:color="auto"/>
            </w:tcBorders>
            <w:vAlign w:val="center"/>
          </w:tcPr>
          <w:p w14:paraId="646E23B4"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100,03</w:t>
            </w:r>
          </w:p>
        </w:tc>
        <w:tc>
          <w:tcPr>
            <w:tcW w:w="1027" w:type="dxa"/>
            <w:tcBorders>
              <w:top w:val="single" w:sz="4" w:space="0" w:color="auto"/>
              <w:left w:val="single" w:sz="4" w:space="0" w:color="auto"/>
              <w:bottom w:val="single" w:sz="4" w:space="0" w:color="auto"/>
              <w:right w:val="single" w:sz="4" w:space="0" w:color="auto"/>
            </w:tcBorders>
            <w:vAlign w:val="center"/>
          </w:tcPr>
          <w:p w14:paraId="705CA1FB"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100,12</w:t>
            </w:r>
          </w:p>
        </w:tc>
        <w:tc>
          <w:tcPr>
            <w:tcW w:w="1027" w:type="dxa"/>
            <w:tcBorders>
              <w:top w:val="single" w:sz="4" w:space="0" w:color="auto"/>
              <w:left w:val="single" w:sz="4" w:space="0" w:color="auto"/>
              <w:bottom w:val="single" w:sz="4" w:space="0" w:color="auto"/>
              <w:right w:val="single" w:sz="4" w:space="0" w:color="auto"/>
            </w:tcBorders>
            <w:vAlign w:val="center"/>
          </w:tcPr>
          <w:p w14:paraId="2CBF021C"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100,09</w:t>
            </w:r>
          </w:p>
        </w:tc>
        <w:tc>
          <w:tcPr>
            <w:tcW w:w="1071" w:type="dxa"/>
            <w:tcBorders>
              <w:top w:val="single" w:sz="4" w:space="0" w:color="auto"/>
              <w:left w:val="single" w:sz="4" w:space="0" w:color="auto"/>
              <w:bottom w:val="single" w:sz="4" w:space="0" w:color="auto"/>
            </w:tcBorders>
            <w:vAlign w:val="center"/>
          </w:tcPr>
          <w:p w14:paraId="36C0C39D"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100,12</w:t>
            </w:r>
          </w:p>
        </w:tc>
      </w:tr>
      <w:tr w:rsidR="00B8039B" w:rsidRPr="00B66512" w14:paraId="6D051E2E" w14:textId="77777777" w:rsidTr="00F848E9">
        <w:trPr>
          <w:trHeight w:val="345"/>
        </w:trPr>
        <w:tc>
          <w:tcPr>
            <w:tcW w:w="2520" w:type="dxa"/>
            <w:tcBorders>
              <w:top w:val="single" w:sz="4" w:space="0" w:color="auto"/>
              <w:bottom w:val="single" w:sz="4" w:space="0" w:color="auto"/>
              <w:right w:val="single" w:sz="4" w:space="0" w:color="auto"/>
            </w:tcBorders>
          </w:tcPr>
          <w:p w14:paraId="27CFFFBB" w14:textId="77777777" w:rsidR="00B8039B" w:rsidRPr="00B66512" w:rsidRDefault="00B8039B" w:rsidP="00B8039B">
            <w:pPr>
              <w:autoSpaceDE w:val="0"/>
              <w:autoSpaceDN w:val="0"/>
              <w:adjustRightInd w:val="0"/>
              <w:spacing w:after="0" w:line="240" w:lineRule="auto"/>
              <w:ind w:left="72" w:hanging="72"/>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Численность иностранных граждан, осуществляющих трудовую деятельность</w:t>
            </w:r>
          </w:p>
        </w:tc>
        <w:tc>
          <w:tcPr>
            <w:tcW w:w="1113" w:type="dxa"/>
            <w:tcBorders>
              <w:top w:val="single" w:sz="4" w:space="0" w:color="auto"/>
              <w:left w:val="single" w:sz="4" w:space="0" w:color="auto"/>
              <w:bottom w:val="single" w:sz="4" w:space="0" w:color="auto"/>
              <w:right w:val="single" w:sz="4" w:space="0" w:color="auto"/>
            </w:tcBorders>
            <w:vAlign w:val="center"/>
          </w:tcPr>
          <w:p w14:paraId="71926B2B" w14:textId="77777777" w:rsidR="00B8039B" w:rsidRPr="00B66512" w:rsidRDefault="00B8039B" w:rsidP="00B8039B">
            <w:pPr>
              <w:autoSpaceDE w:val="0"/>
              <w:autoSpaceDN w:val="0"/>
              <w:adjustRightInd w:val="0"/>
              <w:spacing w:after="0" w:line="240" w:lineRule="auto"/>
              <w:ind w:left="72"/>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800" w:type="dxa"/>
            <w:tcBorders>
              <w:top w:val="single" w:sz="4" w:space="0" w:color="auto"/>
              <w:left w:val="single" w:sz="4" w:space="0" w:color="auto"/>
              <w:bottom w:val="single" w:sz="4" w:space="0" w:color="auto"/>
              <w:right w:val="single" w:sz="4" w:space="0" w:color="auto"/>
            </w:tcBorders>
            <w:vAlign w:val="center"/>
          </w:tcPr>
          <w:p w14:paraId="19264058"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c>
          <w:tcPr>
            <w:tcW w:w="925" w:type="dxa"/>
            <w:tcBorders>
              <w:top w:val="single" w:sz="4" w:space="0" w:color="auto"/>
              <w:left w:val="single" w:sz="4" w:space="0" w:color="auto"/>
              <w:bottom w:val="single" w:sz="4" w:space="0" w:color="auto"/>
              <w:right w:val="single" w:sz="4" w:space="0" w:color="auto"/>
            </w:tcBorders>
            <w:vAlign w:val="center"/>
          </w:tcPr>
          <w:p w14:paraId="6B7F1CD9"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c>
          <w:tcPr>
            <w:tcW w:w="1001" w:type="dxa"/>
            <w:tcBorders>
              <w:top w:val="single" w:sz="4" w:space="0" w:color="auto"/>
              <w:left w:val="single" w:sz="4" w:space="0" w:color="auto"/>
              <w:bottom w:val="single" w:sz="4" w:space="0" w:color="auto"/>
              <w:right w:val="single" w:sz="4" w:space="0" w:color="auto"/>
            </w:tcBorders>
            <w:vAlign w:val="center"/>
          </w:tcPr>
          <w:p w14:paraId="0682A978"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c>
          <w:tcPr>
            <w:tcW w:w="1027" w:type="dxa"/>
            <w:tcBorders>
              <w:top w:val="single" w:sz="4" w:space="0" w:color="auto"/>
              <w:left w:val="single" w:sz="4" w:space="0" w:color="auto"/>
              <w:bottom w:val="single" w:sz="4" w:space="0" w:color="auto"/>
              <w:right w:val="single" w:sz="4" w:space="0" w:color="auto"/>
            </w:tcBorders>
            <w:vAlign w:val="center"/>
          </w:tcPr>
          <w:p w14:paraId="5DAC2527"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c>
          <w:tcPr>
            <w:tcW w:w="1027" w:type="dxa"/>
            <w:tcBorders>
              <w:top w:val="single" w:sz="4" w:space="0" w:color="auto"/>
              <w:left w:val="single" w:sz="4" w:space="0" w:color="auto"/>
              <w:bottom w:val="single" w:sz="4" w:space="0" w:color="auto"/>
              <w:right w:val="single" w:sz="4" w:space="0" w:color="auto"/>
            </w:tcBorders>
            <w:vAlign w:val="center"/>
          </w:tcPr>
          <w:p w14:paraId="301A2ABA"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c>
          <w:tcPr>
            <w:tcW w:w="1071" w:type="dxa"/>
            <w:tcBorders>
              <w:top w:val="single" w:sz="4" w:space="0" w:color="auto"/>
              <w:left w:val="single" w:sz="4" w:space="0" w:color="auto"/>
              <w:bottom w:val="single" w:sz="4" w:space="0" w:color="auto"/>
            </w:tcBorders>
            <w:vAlign w:val="center"/>
          </w:tcPr>
          <w:p w14:paraId="76E5E813"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r>
      <w:tr w:rsidR="00B8039B" w:rsidRPr="00B66512" w14:paraId="085BAD45" w14:textId="77777777" w:rsidTr="00F848E9">
        <w:trPr>
          <w:trHeight w:val="255"/>
        </w:trPr>
        <w:tc>
          <w:tcPr>
            <w:tcW w:w="2520" w:type="dxa"/>
            <w:tcBorders>
              <w:top w:val="single" w:sz="4" w:space="0" w:color="auto"/>
              <w:bottom w:val="single" w:sz="4" w:space="0" w:color="auto"/>
              <w:right w:val="single" w:sz="4" w:space="0" w:color="auto"/>
            </w:tcBorders>
          </w:tcPr>
          <w:p w14:paraId="7863BF85" w14:textId="77777777" w:rsidR="00B8039B" w:rsidRPr="00B66512" w:rsidRDefault="00B8039B" w:rsidP="00B8039B">
            <w:pPr>
              <w:autoSpaceDE w:val="0"/>
              <w:autoSpaceDN w:val="0"/>
              <w:adjustRightInd w:val="0"/>
              <w:spacing w:after="0" w:line="240" w:lineRule="auto"/>
              <w:ind w:left="72" w:hanging="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Численность занятых в экономике (среднегодовая)</w:t>
            </w:r>
          </w:p>
        </w:tc>
        <w:tc>
          <w:tcPr>
            <w:tcW w:w="1113" w:type="dxa"/>
            <w:tcBorders>
              <w:top w:val="single" w:sz="4" w:space="0" w:color="auto"/>
              <w:left w:val="single" w:sz="4" w:space="0" w:color="auto"/>
              <w:bottom w:val="single" w:sz="4" w:space="0" w:color="auto"/>
              <w:right w:val="single" w:sz="4" w:space="0" w:color="auto"/>
            </w:tcBorders>
            <w:vAlign w:val="center"/>
          </w:tcPr>
          <w:p w14:paraId="25B7586A" w14:textId="77777777" w:rsidR="00B8039B" w:rsidRPr="00B66512" w:rsidRDefault="00B8039B" w:rsidP="00B8039B">
            <w:pPr>
              <w:autoSpaceDE w:val="0"/>
              <w:autoSpaceDN w:val="0"/>
              <w:adjustRightInd w:val="0"/>
              <w:spacing w:after="0" w:line="240" w:lineRule="auto"/>
              <w:ind w:left="72"/>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тыс. человек</w:t>
            </w:r>
          </w:p>
        </w:tc>
        <w:tc>
          <w:tcPr>
            <w:tcW w:w="800" w:type="dxa"/>
            <w:tcBorders>
              <w:top w:val="single" w:sz="4" w:space="0" w:color="auto"/>
              <w:left w:val="single" w:sz="4" w:space="0" w:color="auto"/>
              <w:bottom w:val="single" w:sz="4" w:space="0" w:color="auto"/>
              <w:right w:val="single" w:sz="4" w:space="0" w:color="auto"/>
            </w:tcBorders>
            <w:vAlign w:val="center"/>
          </w:tcPr>
          <w:p w14:paraId="05C7A12B"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4,591</w:t>
            </w:r>
          </w:p>
        </w:tc>
        <w:tc>
          <w:tcPr>
            <w:tcW w:w="925" w:type="dxa"/>
            <w:tcBorders>
              <w:top w:val="single" w:sz="4" w:space="0" w:color="auto"/>
              <w:left w:val="single" w:sz="4" w:space="0" w:color="auto"/>
              <w:bottom w:val="single" w:sz="4" w:space="0" w:color="auto"/>
              <w:right w:val="single" w:sz="4" w:space="0" w:color="auto"/>
            </w:tcBorders>
            <w:vAlign w:val="center"/>
          </w:tcPr>
          <w:p w14:paraId="567EAD1C"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4,595</w:t>
            </w:r>
          </w:p>
        </w:tc>
        <w:tc>
          <w:tcPr>
            <w:tcW w:w="1001" w:type="dxa"/>
            <w:tcBorders>
              <w:top w:val="single" w:sz="4" w:space="0" w:color="auto"/>
              <w:left w:val="single" w:sz="4" w:space="0" w:color="auto"/>
              <w:bottom w:val="single" w:sz="4" w:space="0" w:color="auto"/>
              <w:right w:val="single" w:sz="4" w:space="0" w:color="auto"/>
            </w:tcBorders>
            <w:vAlign w:val="center"/>
          </w:tcPr>
          <w:p w14:paraId="54C3F7BE"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4,599</w:t>
            </w:r>
          </w:p>
        </w:tc>
        <w:tc>
          <w:tcPr>
            <w:tcW w:w="1027" w:type="dxa"/>
            <w:tcBorders>
              <w:top w:val="single" w:sz="4" w:space="0" w:color="auto"/>
              <w:left w:val="single" w:sz="4" w:space="0" w:color="auto"/>
              <w:bottom w:val="single" w:sz="4" w:space="0" w:color="auto"/>
              <w:right w:val="single" w:sz="4" w:space="0" w:color="auto"/>
            </w:tcBorders>
            <w:vAlign w:val="center"/>
          </w:tcPr>
          <w:p w14:paraId="7D04156D"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4,608</w:t>
            </w:r>
          </w:p>
        </w:tc>
        <w:tc>
          <w:tcPr>
            <w:tcW w:w="1027" w:type="dxa"/>
            <w:tcBorders>
              <w:top w:val="single" w:sz="4" w:space="0" w:color="auto"/>
              <w:left w:val="single" w:sz="4" w:space="0" w:color="auto"/>
              <w:bottom w:val="single" w:sz="4" w:space="0" w:color="auto"/>
              <w:right w:val="single" w:sz="4" w:space="0" w:color="auto"/>
            </w:tcBorders>
            <w:vAlign w:val="center"/>
          </w:tcPr>
          <w:p w14:paraId="20B6FBE6"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4,615</w:t>
            </w:r>
          </w:p>
        </w:tc>
        <w:tc>
          <w:tcPr>
            <w:tcW w:w="1071" w:type="dxa"/>
            <w:tcBorders>
              <w:top w:val="single" w:sz="4" w:space="0" w:color="auto"/>
              <w:left w:val="single" w:sz="4" w:space="0" w:color="auto"/>
              <w:bottom w:val="single" w:sz="4" w:space="0" w:color="auto"/>
            </w:tcBorders>
            <w:vAlign w:val="center"/>
          </w:tcPr>
          <w:p w14:paraId="26EA5F6D"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4,624</w:t>
            </w:r>
          </w:p>
        </w:tc>
      </w:tr>
      <w:tr w:rsidR="00B8039B" w:rsidRPr="00B66512" w14:paraId="7968D88F" w14:textId="77777777" w:rsidTr="00F848E9">
        <w:trPr>
          <w:trHeight w:val="255"/>
        </w:trPr>
        <w:tc>
          <w:tcPr>
            <w:tcW w:w="2520" w:type="dxa"/>
            <w:tcBorders>
              <w:top w:val="single" w:sz="4" w:space="0" w:color="auto"/>
              <w:bottom w:val="single" w:sz="4" w:space="0" w:color="auto"/>
              <w:right w:val="single" w:sz="4" w:space="0" w:color="auto"/>
            </w:tcBorders>
          </w:tcPr>
          <w:p w14:paraId="4012ED48" w14:textId="77777777" w:rsidR="00B8039B" w:rsidRPr="00B66512" w:rsidRDefault="00B8039B" w:rsidP="00B8039B">
            <w:pPr>
              <w:autoSpaceDE w:val="0"/>
              <w:autoSpaceDN w:val="0"/>
              <w:adjustRightInd w:val="0"/>
              <w:spacing w:after="0" w:line="240" w:lineRule="auto"/>
              <w:ind w:left="72" w:hanging="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Темп роста в действующих ценах, к соответствующему периоду предыдущего года</w:t>
            </w:r>
          </w:p>
        </w:tc>
        <w:tc>
          <w:tcPr>
            <w:tcW w:w="1113" w:type="dxa"/>
            <w:tcBorders>
              <w:top w:val="single" w:sz="4" w:space="0" w:color="auto"/>
              <w:left w:val="single" w:sz="4" w:space="0" w:color="auto"/>
              <w:bottom w:val="single" w:sz="4" w:space="0" w:color="auto"/>
              <w:right w:val="single" w:sz="4" w:space="0" w:color="auto"/>
            </w:tcBorders>
            <w:vAlign w:val="center"/>
          </w:tcPr>
          <w:p w14:paraId="3125CC5B" w14:textId="77777777" w:rsidR="00B8039B" w:rsidRPr="00B66512" w:rsidRDefault="00B8039B" w:rsidP="00B8039B">
            <w:pPr>
              <w:autoSpaceDE w:val="0"/>
              <w:autoSpaceDN w:val="0"/>
              <w:adjustRightInd w:val="0"/>
              <w:spacing w:after="0" w:line="240" w:lineRule="auto"/>
              <w:ind w:left="72"/>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w:t>
            </w:r>
          </w:p>
        </w:tc>
        <w:tc>
          <w:tcPr>
            <w:tcW w:w="800" w:type="dxa"/>
            <w:tcBorders>
              <w:top w:val="single" w:sz="4" w:space="0" w:color="auto"/>
              <w:left w:val="single" w:sz="4" w:space="0" w:color="auto"/>
              <w:bottom w:val="single" w:sz="4" w:space="0" w:color="auto"/>
              <w:right w:val="single" w:sz="4" w:space="0" w:color="auto"/>
            </w:tcBorders>
            <w:vAlign w:val="center"/>
          </w:tcPr>
          <w:p w14:paraId="121D99CD"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val="en-US" w:eastAsia="en-US"/>
              </w:rPr>
            </w:pPr>
            <w:r w:rsidRPr="00B66512">
              <w:rPr>
                <w:rFonts w:ascii="Times New Roman CYR" w:hAnsi="Times New Roman CYR" w:cs="Times New Roman CYR"/>
                <w:sz w:val="24"/>
                <w:szCs w:val="24"/>
                <w:lang w:val="en-US" w:eastAsia="en-US"/>
              </w:rPr>
              <w:t>X</w:t>
            </w:r>
          </w:p>
        </w:tc>
        <w:tc>
          <w:tcPr>
            <w:tcW w:w="925" w:type="dxa"/>
            <w:tcBorders>
              <w:top w:val="single" w:sz="4" w:space="0" w:color="auto"/>
              <w:left w:val="single" w:sz="4" w:space="0" w:color="auto"/>
              <w:bottom w:val="single" w:sz="4" w:space="0" w:color="auto"/>
              <w:right w:val="single" w:sz="4" w:space="0" w:color="auto"/>
            </w:tcBorders>
            <w:vAlign w:val="center"/>
          </w:tcPr>
          <w:p w14:paraId="14A1FFAD"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100,09</w:t>
            </w:r>
          </w:p>
        </w:tc>
        <w:tc>
          <w:tcPr>
            <w:tcW w:w="1001" w:type="dxa"/>
            <w:tcBorders>
              <w:top w:val="single" w:sz="4" w:space="0" w:color="auto"/>
              <w:left w:val="single" w:sz="4" w:space="0" w:color="auto"/>
              <w:bottom w:val="single" w:sz="4" w:space="0" w:color="auto"/>
              <w:right w:val="single" w:sz="4" w:space="0" w:color="auto"/>
            </w:tcBorders>
            <w:vAlign w:val="center"/>
          </w:tcPr>
          <w:p w14:paraId="25DA5E26"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100,09</w:t>
            </w:r>
          </w:p>
        </w:tc>
        <w:tc>
          <w:tcPr>
            <w:tcW w:w="1027" w:type="dxa"/>
            <w:tcBorders>
              <w:top w:val="single" w:sz="4" w:space="0" w:color="auto"/>
              <w:left w:val="single" w:sz="4" w:space="0" w:color="auto"/>
              <w:bottom w:val="single" w:sz="4" w:space="0" w:color="auto"/>
              <w:right w:val="single" w:sz="4" w:space="0" w:color="auto"/>
            </w:tcBorders>
            <w:vAlign w:val="center"/>
          </w:tcPr>
          <w:p w14:paraId="455AAA87"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100,20</w:t>
            </w:r>
          </w:p>
        </w:tc>
        <w:tc>
          <w:tcPr>
            <w:tcW w:w="1027" w:type="dxa"/>
            <w:tcBorders>
              <w:top w:val="single" w:sz="4" w:space="0" w:color="auto"/>
              <w:left w:val="single" w:sz="4" w:space="0" w:color="auto"/>
              <w:bottom w:val="single" w:sz="4" w:space="0" w:color="auto"/>
              <w:right w:val="single" w:sz="4" w:space="0" w:color="auto"/>
            </w:tcBorders>
            <w:vAlign w:val="center"/>
          </w:tcPr>
          <w:p w14:paraId="424CC4E6"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100,15</w:t>
            </w:r>
          </w:p>
        </w:tc>
        <w:tc>
          <w:tcPr>
            <w:tcW w:w="1071" w:type="dxa"/>
            <w:tcBorders>
              <w:top w:val="single" w:sz="4" w:space="0" w:color="auto"/>
              <w:left w:val="single" w:sz="4" w:space="0" w:color="auto"/>
              <w:bottom w:val="single" w:sz="4" w:space="0" w:color="auto"/>
            </w:tcBorders>
            <w:vAlign w:val="center"/>
          </w:tcPr>
          <w:p w14:paraId="162A8CD1"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100,20</w:t>
            </w:r>
          </w:p>
        </w:tc>
      </w:tr>
      <w:tr w:rsidR="00B8039B" w:rsidRPr="00B66512" w14:paraId="5CAD36EF" w14:textId="77777777" w:rsidTr="00F848E9">
        <w:trPr>
          <w:trHeight w:val="255"/>
        </w:trPr>
        <w:tc>
          <w:tcPr>
            <w:tcW w:w="2520" w:type="dxa"/>
            <w:tcBorders>
              <w:top w:val="single" w:sz="4" w:space="0" w:color="auto"/>
              <w:bottom w:val="single" w:sz="4" w:space="0" w:color="auto"/>
              <w:right w:val="single" w:sz="4" w:space="0" w:color="auto"/>
            </w:tcBorders>
          </w:tcPr>
          <w:p w14:paraId="4648CD5A" w14:textId="77777777" w:rsidR="00B8039B" w:rsidRPr="00B66512" w:rsidRDefault="00B8039B" w:rsidP="00B8039B">
            <w:pPr>
              <w:autoSpaceDE w:val="0"/>
              <w:autoSpaceDN w:val="0"/>
              <w:adjustRightInd w:val="0"/>
              <w:spacing w:after="0" w:line="240" w:lineRule="auto"/>
              <w:ind w:left="72" w:hanging="72"/>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Среднесписочная численность работников организаций без внешних совместителей по полному кругу организаций</w:t>
            </w:r>
          </w:p>
        </w:tc>
        <w:tc>
          <w:tcPr>
            <w:tcW w:w="1113" w:type="dxa"/>
            <w:tcBorders>
              <w:top w:val="single" w:sz="4" w:space="0" w:color="auto"/>
              <w:left w:val="single" w:sz="4" w:space="0" w:color="auto"/>
              <w:bottom w:val="single" w:sz="4" w:space="0" w:color="auto"/>
              <w:right w:val="single" w:sz="4" w:space="0" w:color="auto"/>
            </w:tcBorders>
            <w:vAlign w:val="center"/>
          </w:tcPr>
          <w:p w14:paraId="71FAC2A5" w14:textId="77777777" w:rsidR="00B8039B" w:rsidRPr="00B66512" w:rsidRDefault="00B8039B" w:rsidP="00B8039B">
            <w:pPr>
              <w:autoSpaceDE w:val="0"/>
              <w:autoSpaceDN w:val="0"/>
              <w:adjustRightInd w:val="0"/>
              <w:spacing w:after="0" w:line="240" w:lineRule="auto"/>
              <w:ind w:left="72"/>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800" w:type="dxa"/>
            <w:tcBorders>
              <w:top w:val="single" w:sz="4" w:space="0" w:color="auto"/>
              <w:left w:val="single" w:sz="4" w:space="0" w:color="auto"/>
              <w:bottom w:val="single" w:sz="4" w:space="0" w:color="auto"/>
              <w:right w:val="single" w:sz="4" w:space="0" w:color="auto"/>
            </w:tcBorders>
          </w:tcPr>
          <w:p w14:paraId="3C0A22B0"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6BE17F65"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44E12E24"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0DB3FD03"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4CFE1F13" w14:textId="77777777" w:rsidR="00B8039B" w:rsidRPr="00B66512" w:rsidRDefault="00B8039B" w:rsidP="00B8039B">
            <w:pPr>
              <w:autoSpaceDE w:val="0"/>
              <w:autoSpaceDN w:val="0"/>
              <w:adjustRightInd w:val="0"/>
              <w:spacing w:after="0" w:line="240" w:lineRule="auto"/>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2634</w:t>
            </w:r>
          </w:p>
        </w:tc>
        <w:tc>
          <w:tcPr>
            <w:tcW w:w="925" w:type="dxa"/>
            <w:tcBorders>
              <w:top w:val="single" w:sz="4" w:space="0" w:color="auto"/>
              <w:left w:val="single" w:sz="4" w:space="0" w:color="auto"/>
              <w:bottom w:val="single" w:sz="4" w:space="0" w:color="auto"/>
              <w:right w:val="single" w:sz="4" w:space="0" w:color="auto"/>
            </w:tcBorders>
            <w:vAlign w:val="center"/>
          </w:tcPr>
          <w:p w14:paraId="4BFB0494" w14:textId="77777777" w:rsidR="00B8039B" w:rsidRPr="00B66512" w:rsidRDefault="00B8039B" w:rsidP="00B8039B">
            <w:pPr>
              <w:autoSpaceDE w:val="0"/>
              <w:autoSpaceDN w:val="0"/>
              <w:adjustRightInd w:val="0"/>
              <w:spacing w:after="0" w:line="240" w:lineRule="auto"/>
              <w:jc w:val="both"/>
              <w:rPr>
                <w:rFonts w:ascii="Times New Roman CYR" w:hAnsi="Times New Roman CYR" w:cs="Times New Roman CYR"/>
                <w:sz w:val="24"/>
                <w:szCs w:val="24"/>
                <w:lang w:eastAsia="en-US"/>
              </w:rPr>
            </w:pPr>
          </w:p>
          <w:p w14:paraId="77EB7216"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1E84AB68"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2641</w:t>
            </w:r>
          </w:p>
          <w:p w14:paraId="62B08088"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tc>
        <w:tc>
          <w:tcPr>
            <w:tcW w:w="1001" w:type="dxa"/>
            <w:tcBorders>
              <w:top w:val="single" w:sz="4" w:space="0" w:color="auto"/>
              <w:left w:val="single" w:sz="4" w:space="0" w:color="auto"/>
              <w:bottom w:val="single" w:sz="4" w:space="0" w:color="auto"/>
              <w:right w:val="single" w:sz="4" w:space="0" w:color="auto"/>
            </w:tcBorders>
            <w:vAlign w:val="center"/>
          </w:tcPr>
          <w:p w14:paraId="283FD3C0"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33AB2745"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2646</w:t>
            </w:r>
          </w:p>
        </w:tc>
        <w:tc>
          <w:tcPr>
            <w:tcW w:w="1027" w:type="dxa"/>
            <w:tcBorders>
              <w:top w:val="single" w:sz="4" w:space="0" w:color="auto"/>
              <w:left w:val="single" w:sz="4" w:space="0" w:color="auto"/>
              <w:bottom w:val="single" w:sz="4" w:space="0" w:color="auto"/>
              <w:right w:val="single" w:sz="4" w:space="0" w:color="auto"/>
            </w:tcBorders>
            <w:vAlign w:val="center"/>
          </w:tcPr>
          <w:p w14:paraId="480E5696"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691C8E22"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2651</w:t>
            </w:r>
          </w:p>
        </w:tc>
        <w:tc>
          <w:tcPr>
            <w:tcW w:w="1027" w:type="dxa"/>
            <w:tcBorders>
              <w:top w:val="single" w:sz="4" w:space="0" w:color="auto"/>
              <w:left w:val="single" w:sz="4" w:space="0" w:color="auto"/>
              <w:bottom w:val="single" w:sz="4" w:space="0" w:color="auto"/>
              <w:right w:val="single" w:sz="4" w:space="0" w:color="auto"/>
            </w:tcBorders>
            <w:vAlign w:val="center"/>
          </w:tcPr>
          <w:p w14:paraId="07859FCC"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2C5008BD"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2656</w:t>
            </w:r>
          </w:p>
        </w:tc>
        <w:tc>
          <w:tcPr>
            <w:tcW w:w="1071" w:type="dxa"/>
            <w:tcBorders>
              <w:top w:val="single" w:sz="4" w:space="0" w:color="auto"/>
              <w:left w:val="single" w:sz="4" w:space="0" w:color="auto"/>
              <w:bottom w:val="single" w:sz="4" w:space="0" w:color="auto"/>
            </w:tcBorders>
            <w:vAlign w:val="center"/>
          </w:tcPr>
          <w:p w14:paraId="156BF3E9"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6978DC6D"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2661</w:t>
            </w:r>
          </w:p>
        </w:tc>
      </w:tr>
      <w:tr w:rsidR="00B8039B" w:rsidRPr="00B66512" w14:paraId="5E1B0B93" w14:textId="77777777" w:rsidTr="00F848E9">
        <w:trPr>
          <w:trHeight w:val="255"/>
        </w:trPr>
        <w:tc>
          <w:tcPr>
            <w:tcW w:w="2520" w:type="dxa"/>
            <w:tcBorders>
              <w:top w:val="single" w:sz="4" w:space="0" w:color="auto"/>
              <w:bottom w:val="single" w:sz="4" w:space="0" w:color="auto"/>
              <w:right w:val="single" w:sz="4" w:space="0" w:color="auto"/>
            </w:tcBorders>
          </w:tcPr>
          <w:p w14:paraId="7C2159E5" w14:textId="77777777" w:rsidR="00B8039B" w:rsidRPr="00B66512" w:rsidRDefault="00B8039B" w:rsidP="00B8039B">
            <w:pPr>
              <w:autoSpaceDE w:val="0"/>
              <w:autoSpaceDN w:val="0"/>
              <w:adjustRightInd w:val="0"/>
              <w:spacing w:after="0" w:line="240" w:lineRule="auto"/>
              <w:ind w:left="72" w:hanging="72"/>
              <w:jc w:val="both"/>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Темп роста в действующих ценах, к соответствующему периоду предыдущего года</w:t>
            </w:r>
          </w:p>
        </w:tc>
        <w:tc>
          <w:tcPr>
            <w:tcW w:w="1113" w:type="dxa"/>
            <w:tcBorders>
              <w:top w:val="single" w:sz="4" w:space="0" w:color="auto"/>
              <w:left w:val="single" w:sz="4" w:space="0" w:color="auto"/>
              <w:bottom w:val="single" w:sz="4" w:space="0" w:color="auto"/>
              <w:right w:val="single" w:sz="4" w:space="0" w:color="auto"/>
            </w:tcBorders>
            <w:vAlign w:val="center"/>
          </w:tcPr>
          <w:p w14:paraId="268295B0" w14:textId="77777777" w:rsidR="00B8039B" w:rsidRPr="00B66512" w:rsidRDefault="00B8039B" w:rsidP="00B8039B">
            <w:pPr>
              <w:autoSpaceDE w:val="0"/>
              <w:autoSpaceDN w:val="0"/>
              <w:adjustRightInd w:val="0"/>
              <w:spacing w:after="0" w:line="240" w:lineRule="auto"/>
              <w:ind w:left="72"/>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w:t>
            </w:r>
          </w:p>
        </w:tc>
        <w:tc>
          <w:tcPr>
            <w:tcW w:w="800" w:type="dxa"/>
            <w:tcBorders>
              <w:top w:val="single" w:sz="4" w:space="0" w:color="auto"/>
              <w:left w:val="single" w:sz="4" w:space="0" w:color="auto"/>
              <w:bottom w:val="single" w:sz="4" w:space="0" w:color="auto"/>
              <w:right w:val="single" w:sz="4" w:space="0" w:color="auto"/>
            </w:tcBorders>
            <w:vAlign w:val="center"/>
          </w:tcPr>
          <w:p w14:paraId="7AB53F33"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val="en-US" w:eastAsia="en-US"/>
              </w:rPr>
            </w:pPr>
            <w:r w:rsidRPr="00B66512">
              <w:rPr>
                <w:rFonts w:ascii="Times New Roman CYR" w:hAnsi="Times New Roman CYR" w:cs="Times New Roman CYR"/>
                <w:sz w:val="24"/>
                <w:szCs w:val="24"/>
                <w:lang w:val="en-US" w:eastAsia="en-US"/>
              </w:rPr>
              <w:t>X</w:t>
            </w:r>
          </w:p>
        </w:tc>
        <w:tc>
          <w:tcPr>
            <w:tcW w:w="925" w:type="dxa"/>
            <w:tcBorders>
              <w:top w:val="single" w:sz="4" w:space="0" w:color="auto"/>
              <w:left w:val="single" w:sz="4" w:space="0" w:color="auto"/>
              <w:bottom w:val="single" w:sz="4" w:space="0" w:color="auto"/>
              <w:right w:val="single" w:sz="4" w:space="0" w:color="auto"/>
            </w:tcBorders>
            <w:vAlign w:val="center"/>
          </w:tcPr>
          <w:p w14:paraId="1646858F"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100,27</w:t>
            </w:r>
          </w:p>
        </w:tc>
        <w:tc>
          <w:tcPr>
            <w:tcW w:w="1001" w:type="dxa"/>
            <w:tcBorders>
              <w:top w:val="single" w:sz="4" w:space="0" w:color="auto"/>
              <w:left w:val="single" w:sz="4" w:space="0" w:color="auto"/>
              <w:bottom w:val="single" w:sz="4" w:space="0" w:color="auto"/>
              <w:right w:val="single" w:sz="4" w:space="0" w:color="auto"/>
            </w:tcBorders>
            <w:vAlign w:val="center"/>
          </w:tcPr>
          <w:p w14:paraId="2A7E8682"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100,19</w:t>
            </w:r>
          </w:p>
        </w:tc>
        <w:tc>
          <w:tcPr>
            <w:tcW w:w="1027" w:type="dxa"/>
            <w:tcBorders>
              <w:top w:val="single" w:sz="4" w:space="0" w:color="auto"/>
              <w:left w:val="single" w:sz="4" w:space="0" w:color="auto"/>
              <w:bottom w:val="single" w:sz="4" w:space="0" w:color="auto"/>
              <w:right w:val="single" w:sz="4" w:space="0" w:color="auto"/>
            </w:tcBorders>
            <w:vAlign w:val="center"/>
          </w:tcPr>
          <w:p w14:paraId="52FAEE9C"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100,19</w:t>
            </w:r>
          </w:p>
        </w:tc>
        <w:tc>
          <w:tcPr>
            <w:tcW w:w="1027" w:type="dxa"/>
            <w:tcBorders>
              <w:top w:val="single" w:sz="4" w:space="0" w:color="auto"/>
              <w:left w:val="single" w:sz="4" w:space="0" w:color="auto"/>
              <w:bottom w:val="single" w:sz="4" w:space="0" w:color="auto"/>
              <w:right w:val="single" w:sz="4" w:space="0" w:color="auto"/>
            </w:tcBorders>
            <w:vAlign w:val="center"/>
          </w:tcPr>
          <w:p w14:paraId="7FA0B826"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100,19</w:t>
            </w:r>
          </w:p>
        </w:tc>
        <w:tc>
          <w:tcPr>
            <w:tcW w:w="1071" w:type="dxa"/>
            <w:tcBorders>
              <w:top w:val="single" w:sz="4" w:space="0" w:color="auto"/>
              <w:left w:val="single" w:sz="4" w:space="0" w:color="auto"/>
              <w:bottom w:val="single" w:sz="4" w:space="0" w:color="auto"/>
            </w:tcBorders>
            <w:vAlign w:val="center"/>
          </w:tcPr>
          <w:p w14:paraId="53C59612"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100,19</w:t>
            </w:r>
          </w:p>
        </w:tc>
      </w:tr>
      <w:tr w:rsidR="00B8039B" w:rsidRPr="00B66512" w14:paraId="14622FB9" w14:textId="77777777" w:rsidTr="00F848E9">
        <w:trPr>
          <w:trHeight w:val="255"/>
        </w:trPr>
        <w:tc>
          <w:tcPr>
            <w:tcW w:w="2520" w:type="dxa"/>
            <w:tcBorders>
              <w:top w:val="single" w:sz="4" w:space="0" w:color="auto"/>
              <w:bottom w:val="single" w:sz="4" w:space="0" w:color="auto"/>
              <w:right w:val="single" w:sz="4" w:space="0" w:color="auto"/>
            </w:tcBorders>
          </w:tcPr>
          <w:p w14:paraId="4E97FAD7" w14:textId="77777777" w:rsidR="00B8039B" w:rsidRPr="00B66512" w:rsidRDefault="00B8039B" w:rsidP="00B8039B">
            <w:pPr>
              <w:autoSpaceDE w:val="0"/>
              <w:autoSpaceDN w:val="0"/>
              <w:adjustRightInd w:val="0"/>
              <w:spacing w:after="0" w:line="240" w:lineRule="auto"/>
              <w:ind w:left="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Уровень зарегистрированной безработицы (к трудоспособному населению в трудоспособном возрасте), на конец периода</w:t>
            </w:r>
          </w:p>
        </w:tc>
        <w:tc>
          <w:tcPr>
            <w:tcW w:w="1113" w:type="dxa"/>
            <w:tcBorders>
              <w:top w:val="single" w:sz="4" w:space="0" w:color="auto"/>
              <w:left w:val="single" w:sz="4" w:space="0" w:color="auto"/>
              <w:bottom w:val="single" w:sz="4" w:space="0" w:color="auto"/>
              <w:right w:val="single" w:sz="4" w:space="0" w:color="auto"/>
            </w:tcBorders>
            <w:vAlign w:val="center"/>
          </w:tcPr>
          <w:p w14:paraId="377EEE49"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p>
          <w:p w14:paraId="1B883ABE" w14:textId="77777777" w:rsidR="00B8039B" w:rsidRPr="00B66512" w:rsidRDefault="00B8039B" w:rsidP="00B8039B">
            <w:pPr>
              <w:autoSpaceDE w:val="0"/>
              <w:autoSpaceDN w:val="0"/>
              <w:adjustRightInd w:val="0"/>
              <w:spacing w:after="0" w:line="240" w:lineRule="auto"/>
              <w:ind w:left="224"/>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w:t>
            </w:r>
          </w:p>
        </w:tc>
        <w:tc>
          <w:tcPr>
            <w:tcW w:w="800" w:type="dxa"/>
            <w:tcBorders>
              <w:top w:val="single" w:sz="4" w:space="0" w:color="auto"/>
              <w:left w:val="single" w:sz="4" w:space="0" w:color="auto"/>
              <w:bottom w:val="single" w:sz="4" w:space="0" w:color="auto"/>
              <w:right w:val="single" w:sz="4" w:space="0" w:color="auto"/>
            </w:tcBorders>
            <w:vAlign w:val="center"/>
          </w:tcPr>
          <w:p w14:paraId="544244CB"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3,1</w:t>
            </w:r>
          </w:p>
        </w:tc>
        <w:tc>
          <w:tcPr>
            <w:tcW w:w="925" w:type="dxa"/>
            <w:tcBorders>
              <w:top w:val="single" w:sz="4" w:space="0" w:color="auto"/>
              <w:left w:val="single" w:sz="4" w:space="0" w:color="auto"/>
              <w:bottom w:val="single" w:sz="4" w:space="0" w:color="auto"/>
              <w:right w:val="single" w:sz="4" w:space="0" w:color="auto"/>
            </w:tcBorders>
            <w:vAlign w:val="center"/>
          </w:tcPr>
          <w:p w14:paraId="0D55FB50"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3,0</w:t>
            </w:r>
          </w:p>
        </w:tc>
        <w:tc>
          <w:tcPr>
            <w:tcW w:w="1001" w:type="dxa"/>
            <w:tcBorders>
              <w:top w:val="single" w:sz="4" w:space="0" w:color="auto"/>
              <w:left w:val="single" w:sz="4" w:space="0" w:color="auto"/>
              <w:bottom w:val="single" w:sz="4" w:space="0" w:color="auto"/>
              <w:right w:val="single" w:sz="4" w:space="0" w:color="auto"/>
            </w:tcBorders>
            <w:vAlign w:val="center"/>
          </w:tcPr>
          <w:p w14:paraId="3696DE31"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2,9</w:t>
            </w:r>
          </w:p>
        </w:tc>
        <w:tc>
          <w:tcPr>
            <w:tcW w:w="1027" w:type="dxa"/>
            <w:tcBorders>
              <w:top w:val="single" w:sz="4" w:space="0" w:color="auto"/>
              <w:left w:val="single" w:sz="4" w:space="0" w:color="auto"/>
              <w:bottom w:val="single" w:sz="4" w:space="0" w:color="auto"/>
              <w:right w:val="single" w:sz="4" w:space="0" w:color="auto"/>
            </w:tcBorders>
            <w:vAlign w:val="center"/>
          </w:tcPr>
          <w:p w14:paraId="54D6C522"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2,9</w:t>
            </w:r>
          </w:p>
        </w:tc>
        <w:tc>
          <w:tcPr>
            <w:tcW w:w="1027" w:type="dxa"/>
            <w:tcBorders>
              <w:top w:val="single" w:sz="4" w:space="0" w:color="auto"/>
              <w:left w:val="single" w:sz="4" w:space="0" w:color="auto"/>
              <w:bottom w:val="single" w:sz="4" w:space="0" w:color="auto"/>
              <w:right w:val="single" w:sz="4" w:space="0" w:color="auto"/>
            </w:tcBorders>
            <w:vAlign w:val="center"/>
          </w:tcPr>
          <w:p w14:paraId="4E558031"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2,9</w:t>
            </w:r>
          </w:p>
        </w:tc>
        <w:tc>
          <w:tcPr>
            <w:tcW w:w="1071" w:type="dxa"/>
            <w:tcBorders>
              <w:top w:val="single" w:sz="4" w:space="0" w:color="auto"/>
              <w:left w:val="single" w:sz="4" w:space="0" w:color="auto"/>
              <w:bottom w:val="single" w:sz="4" w:space="0" w:color="auto"/>
            </w:tcBorders>
            <w:vAlign w:val="center"/>
          </w:tcPr>
          <w:p w14:paraId="4123C5A5" w14:textId="77777777" w:rsidR="00B8039B" w:rsidRPr="00B66512" w:rsidRDefault="00B8039B" w:rsidP="00B8039B">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2,9</w:t>
            </w:r>
          </w:p>
        </w:tc>
      </w:tr>
      <w:bookmarkEnd w:id="0"/>
    </w:tbl>
    <w:p w14:paraId="15CD8B73" w14:textId="77777777" w:rsidR="00B8039B" w:rsidRPr="00B66512" w:rsidRDefault="00B8039B" w:rsidP="00B8039B">
      <w:pPr>
        <w:autoSpaceDE w:val="0"/>
        <w:autoSpaceDN w:val="0"/>
        <w:adjustRightInd w:val="0"/>
        <w:spacing w:after="0" w:line="240" w:lineRule="auto"/>
        <w:jc w:val="both"/>
        <w:rPr>
          <w:rFonts w:ascii="Times New Roman CYR" w:hAnsi="Times New Roman CYR" w:cs="Times New Roman CYR"/>
          <w:sz w:val="28"/>
          <w:szCs w:val="28"/>
        </w:rPr>
      </w:pPr>
    </w:p>
    <w:p w14:paraId="096B79F2" w14:textId="77777777" w:rsidR="00A1601E" w:rsidRPr="00B66512" w:rsidRDefault="00A1601E" w:rsidP="0098682B">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12"/>
        </w:rPr>
      </w:pPr>
    </w:p>
    <w:p w14:paraId="7B31F11B" w14:textId="77777777" w:rsidR="0098682B" w:rsidRPr="00B66512" w:rsidRDefault="0098682B">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45FBA1DA"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b/>
          <w:bCs/>
          <w:color w:val="000000"/>
          <w:sz w:val="28"/>
          <w:szCs w:val="28"/>
        </w:rPr>
      </w:pPr>
      <w:r w:rsidRPr="00B66512">
        <w:rPr>
          <w:rFonts w:ascii="Times New Roman CYR" w:hAnsi="Times New Roman CYR" w:cs="Times New Roman CYR"/>
          <w:b/>
          <w:bCs/>
          <w:color w:val="000000"/>
          <w:sz w:val="28"/>
          <w:szCs w:val="28"/>
        </w:rPr>
        <w:t>15. Демографическая ситуация</w:t>
      </w:r>
    </w:p>
    <w:p w14:paraId="617D0A93" w14:textId="77777777" w:rsidR="00DD69E3" w:rsidRPr="00B66512" w:rsidRDefault="00DD69E3">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150B9633" w14:textId="77777777" w:rsidR="00F04841" w:rsidRPr="00B66512" w:rsidRDefault="00F04841" w:rsidP="00F04841">
      <w:pPr>
        <w:spacing w:after="0" w:line="240" w:lineRule="auto"/>
        <w:ind w:firstLine="697"/>
        <w:jc w:val="both"/>
        <w:rPr>
          <w:rFonts w:ascii="Times New Roman" w:hAnsi="Times New Roman"/>
          <w:sz w:val="28"/>
          <w:szCs w:val="28"/>
        </w:rPr>
      </w:pPr>
      <w:r w:rsidRPr="00B66512">
        <w:rPr>
          <w:rFonts w:ascii="Times New Roman" w:hAnsi="Times New Roman"/>
          <w:sz w:val="28"/>
          <w:szCs w:val="28"/>
        </w:rPr>
        <w:t xml:space="preserve">Демографическая ситуация в Каратузском районе на протяжении нескольких лет  характеризуется снижением общей численности населения. </w:t>
      </w:r>
      <w:bookmarkStart w:id="1" w:name="_Toc177304554"/>
      <w:bookmarkStart w:id="2" w:name="_Toc209323007"/>
    </w:p>
    <w:p w14:paraId="788DF279" w14:textId="77777777" w:rsidR="00F04841" w:rsidRPr="00B66512" w:rsidRDefault="00F04841" w:rsidP="00F04841">
      <w:pPr>
        <w:spacing w:after="0" w:line="240" w:lineRule="auto"/>
        <w:ind w:firstLine="69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851"/>
        <w:gridCol w:w="1134"/>
        <w:gridCol w:w="1134"/>
        <w:gridCol w:w="993"/>
        <w:gridCol w:w="1134"/>
        <w:gridCol w:w="1343"/>
        <w:gridCol w:w="1208"/>
      </w:tblGrid>
      <w:tr w:rsidR="00F04841" w:rsidRPr="00B66512" w14:paraId="599D1184" w14:textId="77777777" w:rsidTr="00F848E9">
        <w:trPr>
          <w:trHeight w:val="300"/>
        </w:trPr>
        <w:tc>
          <w:tcPr>
            <w:tcW w:w="2268" w:type="dxa"/>
            <w:vMerge w:val="restart"/>
            <w:tcBorders>
              <w:top w:val="single" w:sz="4" w:space="0" w:color="auto"/>
              <w:bottom w:val="single" w:sz="4" w:space="0" w:color="auto"/>
              <w:right w:val="single" w:sz="4" w:space="0" w:color="auto"/>
            </w:tcBorders>
          </w:tcPr>
          <w:p w14:paraId="789C04E3"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Наименование показателя</w:t>
            </w:r>
          </w:p>
          <w:p w14:paraId="14747F44" w14:textId="77777777" w:rsidR="00F04841" w:rsidRPr="00B66512" w:rsidRDefault="00F04841" w:rsidP="00F04841">
            <w:pPr>
              <w:autoSpaceDE w:val="0"/>
              <w:autoSpaceDN w:val="0"/>
              <w:adjustRightInd w:val="0"/>
              <w:spacing w:after="0" w:line="240" w:lineRule="auto"/>
              <w:ind w:left="-288"/>
              <w:rPr>
                <w:rFonts w:ascii="Times New Roman CYR" w:hAnsi="Times New Roman CYR" w:cs="Times New Roman CYR"/>
                <w:sz w:val="24"/>
                <w:szCs w:val="24"/>
                <w:lang w:eastAsia="en-US"/>
              </w:rPr>
            </w:pPr>
          </w:p>
          <w:p w14:paraId="5442FE7C" w14:textId="77777777" w:rsidR="00F04841" w:rsidRPr="00B66512" w:rsidRDefault="00F04841" w:rsidP="00F04841">
            <w:pPr>
              <w:autoSpaceDE w:val="0"/>
              <w:autoSpaceDN w:val="0"/>
              <w:adjustRightInd w:val="0"/>
              <w:spacing w:after="0" w:line="240" w:lineRule="auto"/>
              <w:ind w:left="900"/>
              <w:rPr>
                <w:rFonts w:ascii="Times New Roman CYR" w:hAnsi="Times New Roman CYR" w:cs="Times New Roman CY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14:paraId="2929D063"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Един.</w:t>
            </w:r>
          </w:p>
          <w:p w14:paraId="442C2AAD"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измерения</w:t>
            </w:r>
          </w:p>
          <w:p w14:paraId="6D6DF7FA"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p>
        </w:tc>
        <w:tc>
          <w:tcPr>
            <w:tcW w:w="6946" w:type="dxa"/>
            <w:gridSpan w:val="6"/>
            <w:tcBorders>
              <w:top w:val="single" w:sz="4" w:space="0" w:color="auto"/>
              <w:left w:val="single" w:sz="4" w:space="0" w:color="auto"/>
              <w:bottom w:val="single" w:sz="4" w:space="0" w:color="auto"/>
            </w:tcBorders>
          </w:tcPr>
          <w:p w14:paraId="2ECF1673"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Годы</w:t>
            </w:r>
          </w:p>
        </w:tc>
      </w:tr>
      <w:tr w:rsidR="00F04841" w:rsidRPr="00B66512" w14:paraId="2D395AAA" w14:textId="77777777" w:rsidTr="00F848E9">
        <w:trPr>
          <w:trHeight w:val="1200"/>
        </w:trPr>
        <w:tc>
          <w:tcPr>
            <w:tcW w:w="2268" w:type="dxa"/>
            <w:vMerge/>
            <w:tcBorders>
              <w:top w:val="single" w:sz="4" w:space="0" w:color="auto"/>
              <w:bottom w:val="single" w:sz="4" w:space="0" w:color="auto"/>
              <w:right w:val="single" w:sz="4" w:space="0" w:color="auto"/>
            </w:tcBorders>
          </w:tcPr>
          <w:p w14:paraId="79B5E9B0" w14:textId="77777777" w:rsidR="00F04841" w:rsidRPr="00B66512" w:rsidRDefault="00F04841" w:rsidP="00F04841">
            <w:pPr>
              <w:autoSpaceDE w:val="0"/>
              <w:autoSpaceDN w:val="0"/>
              <w:adjustRightInd w:val="0"/>
              <w:spacing w:after="0" w:line="240" w:lineRule="auto"/>
              <w:ind w:left="900"/>
              <w:rPr>
                <w:rFonts w:ascii="Times New Roman CYR" w:hAnsi="Times New Roman CYR" w:cs="Times New Roman CY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tcPr>
          <w:p w14:paraId="52D304FD"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4734816"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2022</w:t>
            </w:r>
          </w:p>
          <w:p w14:paraId="55A1363A"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отчет</w:t>
            </w:r>
          </w:p>
        </w:tc>
        <w:tc>
          <w:tcPr>
            <w:tcW w:w="1134" w:type="dxa"/>
            <w:tcBorders>
              <w:top w:val="single" w:sz="4" w:space="0" w:color="auto"/>
              <w:left w:val="single" w:sz="4" w:space="0" w:color="auto"/>
              <w:bottom w:val="single" w:sz="4" w:space="0" w:color="auto"/>
              <w:right w:val="single" w:sz="4" w:space="0" w:color="auto"/>
            </w:tcBorders>
            <w:vAlign w:val="center"/>
          </w:tcPr>
          <w:p w14:paraId="24AA3ECA"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2023</w:t>
            </w:r>
          </w:p>
          <w:p w14:paraId="32379E8E"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отчет</w:t>
            </w:r>
          </w:p>
        </w:tc>
        <w:tc>
          <w:tcPr>
            <w:tcW w:w="993" w:type="dxa"/>
            <w:tcBorders>
              <w:top w:val="single" w:sz="4" w:space="0" w:color="auto"/>
              <w:left w:val="single" w:sz="4" w:space="0" w:color="auto"/>
              <w:bottom w:val="single" w:sz="4" w:space="0" w:color="auto"/>
              <w:right w:val="single" w:sz="4" w:space="0" w:color="auto"/>
            </w:tcBorders>
            <w:vAlign w:val="center"/>
          </w:tcPr>
          <w:p w14:paraId="1ACA78E4"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2024</w:t>
            </w:r>
          </w:p>
          <w:p w14:paraId="648C8B5B"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оценка</w:t>
            </w:r>
          </w:p>
        </w:tc>
        <w:tc>
          <w:tcPr>
            <w:tcW w:w="1134" w:type="dxa"/>
            <w:tcBorders>
              <w:top w:val="single" w:sz="4" w:space="0" w:color="auto"/>
              <w:left w:val="single" w:sz="4" w:space="0" w:color="auto"/>
              <w:bottom w:val="single" w:sz="4" w:space="0" w:color="auto"/>
              <w:right w:val="single" w:sz="4" w:space="0" w:color="auto"/>
            </w:tcBorders>
            <w:vAlign w:val="center"/>
          </w:tcPr>
          <w:p w14:paraId="7ECB1BAA"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2025</w:t>
            </w:r>
          </w:p>
          <w:p w14:paraId="50F14164"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tc>
        <w:tc>
          <w:tcPr>
            <w:tcW w:w="1343" w:type="dxa"/>
            <w:tcBorders>
              <w:top w:val="single" w:sz="4" w:space="0" w:color="auto"/>
              <w:left w:val="single" w:sz="4" w:space="0" w:color="auto"/>
              <w:bottom w:val="single" w:sz="4" w:space="0" w:color="auto"/>
              <w:right w:val="single" w:sz="4" w:space="0" w:color="auto"/>
            </w:tcBorders>
            <w:vAlign w:val="center"/>
          </w:tcPr>
          <w:p w14:paraId="52668440"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2026</w:t>
            </w:r>
          </w:p>
          <w:p w14:paraId="41EC6CCF" w14:textId="77777777" w:rsidR="00F04841" w:rsidRPr="00B66512" w:rsidRDefault="00F04841" w:rsidP="00F04841">
            <w:pPr>
              <w:autoSpaceDE w:val="0"/>
              <w:autoSpaceDN w:val="0"/>
              <w:adjustRightInd w:val="0"/>
              <w:spacing w:after="0" w:line="240" w:lineRule="auto"/>
              <w:ind w:left="-43"/>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tc>
        <w:tc>
          <w:tcPr>
            <w:tcW w:w="1208" w:type="dxa"/>
            <w:tcBorders>
              <w:top w:val="single" w:sz="4" w:space="0" w:color="auto"/>
              <w:left w:val="single" w:sz="4" w:space="0" w:color="auto"/>
              <w:bottom w:val="single" w:sz="4" w:space="0" w:color="auto"/>
            </w:tcBorders>
            <w:vAlign w:val="center"/>
          </w:tcPr>
          <w:p w14:paraId="261707B5"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p>
          <w:p w14:paraId="5C8F81AB"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2027</w:t>
            </w:r>
          </w:p>
          <w:p w14:paraId="086E71F0"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прогноз</w:t>
            </w:r>
          </w:p>
          <w:p w14:paraId="1015BE7C"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p>
        </w:tc>
      </w:tr>
      <w:tr w:rsidR="00F04841" w:rsidRPr="00B66512" w14:paraId="1512A133" w14:textId="77777777" w:rsidTr="00F848E9">
        <w:trPr>
          <w:trHeight w:val="255"/>
        </w:trPr>
        <w:tc>
          <w:tcPr>
            <w:tcW w:w="2268" w:type="dxa"/>
            <w:tcBorders>
              <w:top w:val="single" w:sz="4" w:space="0" w:color="auto"/>
              <w:bottom w:val="single" w:sz="4" w:space="0" w:color="auto"/>
              <w:right w:val="single" w:sz="4" w:space="0" w:color="auto"/>
            </w:tcBorders>
          </w:tcPr>
          <w:p w14:paraId="0C57E767" w14:textId="77777777" w:rsidR="00F04841" w:rsidRPr="00B66512" w:rsidRDefault="00F04841" w:rsidP="00F04841">
            <w:pPr>
              <w:autoSpaceDE w:val="0"/>
              <w:autoSpaceDN w:val="0"/>
              <w:adjustRightInd w:val="0"/>
              <w:spacing w:after="0" w:line="240" w:lineRule="auto"/>
              <w:ind w:left="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Численность постоянного населения (среднегодовая)</w:t>
            </w:r>
          </w:p>
        </w:tc>
        <w:tc>
          <w:tcPr>
            <w:tcW w:w="851" w:type="dxa"/>
            <w:tcBorders>
              <w:top w:val="single" w:sz="4" w:space="0" w:color="auto"/>
              <w:left w:val="single" w:sz="4" w:space="0" w:color="auto"/>
              <w:bottom w:val="single" w:sz="4" w:space="0" w:color="auto"/>
              <w:right w:val="single" w:sz="4" w:space="0" w:color="auto"/>
            </w:tcBorders>
          </w:tcPr>
          <w:p w14:paraId="23552460"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4613512"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13463</w:t>
            </w:r>
          </w:p>
        </w:tc>
        <w:tc>
          <w:tcPr>
            <w:tcW w:w="1134" w:type="dxa"/>
            <w:tcBorders>
              <w:top w:val="single" w:sz="4" w:space="0" w:color="auto"/>
              <w:left w:val="single" w:sz="4" w:space="0" w:color="auto"/>
              <w:bottom w:val="single" w:sz="4" w:space="0" w:color="auto"/>
              <w:right w:val="single" w:sz="4" w:space="0" w:color="auto"/>
            </w:tcBorders>
            <w:vAlign w:val="center"/>
          </w:tcPr>
          <w:p w14:paraId="703D9DDF"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13262</w:t>
            </w:r>
          </w:p>
        </w:tc>
        <w:tc>
          <w:tcPr>
            <w:tcW w:w="993" w:type="dxa"/>
            <w:tcBorders>
              <w:top w:val="single" w:sz="4" w:space="0" w:color="auto"/>
              <w:left w:val="single" w:sz="4" w:space="0" w:color="auto"/>
              <w:bottom w:val="single" w:sz="4" w:space="0" w:color="auto"/>
              <w:right w:val="single" w:sz="4" w:space="0" w:color="auto"/>
            </w:tcBorders>
            <w:vAlign w:val="center"/>
          </w:tcPr>
          <w:p w14:paraId="06DE65E8"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13035</w:t>
            </w:r>
          </w:p>
        </w:tc>
        <w:tc>
          <w:tcPr>
            <w:tcW w:w="1134" w:type="dxa"/>
            <w:tcBorders>
              <w:top w:val="single" w:sz="4" w:space="0" w:color="auto"/>
              <w:left w:val="single" w:sz="4" w:space="0" w:color="auto"/>
              <w:bottom w:val="single" w:sz="4" w:space="0" w:color="auto"/>
              <w:right w:val="single" w:sz="4" w:space="0" w:color="auto"/>
            </w:tcBorders>
            <w:vAlign w:val="center"/>
          </w:tcPr>
          <w:p w14:paraId="1CF82C5B"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12791</w:t>
            </w:r>
          </w:p>
        </w:tc>
        <w:tc>
          <w:tcPr>
            <w:tcW w:w="1343" w:type="dxa"/>
            <w:tcBorders>
              <w:top w:val="single" w:sz="4" w:space="0" w:color="auto"/>
              <w:left w:val="single" w:sz="4" w:space="0" w:color="auto"/>
              <w:bottom w:val="single" w:sz="4" w:space="0" w:color="auto"/>
              <w:right w:val="single" w:sz="4" w:space="0" w:color="auto"/>
            </w:tcBorders>
            <w:vAlign w:val="center"/>
          </w:tcPr>
          <w:p w14:paraId="77CA65F0"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12548</w:t>
            </w:r>
          </w:p>
        </w:tc>
        <w:tc>
          <w:tcPr>
            <w:tcW w:w="1208" w:type="dxa"/>
            <w:tcBorders>
              <w:top w:val="single" w:sz="4" w:space="0" w:color="auto"/>
              <w:left w:val="single" w:sz="4" w:space="0" w:color="auto"/>
              <w:bottom w:val="single" w:sz="4" w:space="0" w:color="auto"/>
            </w:tcBorders>
            <w:vAlign w:val="center"/>
          </w:tcPr>
          <w:p w14:paraId="2AB5A1F3"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12315</w:t>
            </w:r>
          </w:p>
        </w:tc>
      </w:tr>
      <w:tr w:rsidR="00F04841" w:rsidRPr="00B66512" w14:paraId="4699052B" w14:textId="77777777" w:rsidTr="00F848E9">
        <w:trPr>
          <w:trHeight w:val="255"/>
        </w:trPr>
        <w:tc>
          <w:tcPr>
            <w:tcW w:w="2268" w:type="dxa"/>
            <w:tcBorders>
              <w:top w:val="single" w:sz="4" w:space="0" w:color="auto"/>
              <w:bottom w:val="single" w:sz="4" w:space="0" w:color="auto"/>
              <w:right w:val="single" w:sz="4" w:space="0" w:color="auto"/>
            </w:tcBorders>
          </w:tcPr>
          <w:p w14:paraId="06BEE4AB" w14:textId="77777777" w:rsidR="00F04841" w:rsidRPr="00B66512" w:rsidRDefault="00F04841" w:rsidP="00F04841">
            <w:pPr>
              <w:autoSpaceDE w:val="0"/>
              <w:autoSpaceDN w:val="0"/>
              <w:adjustRightInd w:val="0"/>
              <w:spacing w:after="0" w:line="240" w:lineRule="auto"/>
              <w:ind w:left="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Численность постоянного населения, на начало периода</w:t>
            </w:r>
          </w:p>
        </w:tc>
        <w:tc>
          <w:tcPr>
            <w:tcW w:w="851" w:type="dxa"/>
            <w:tcBorders>
              <w:top w:val="single" w:sz="4" w:space="0" w:color="auto"/>
              <w:left w:val="single" w:sz="4" w:space="0" w:color="auto"/>
              <w:bottom w:val="single" w:sz="4" w:space="0" w:color="auto"/>
              <w:right w:val="single" w:sz="4" w:space="0" w:color="auto"/>
            </w:tcBorders>
          </w:tcPr>
          <w:p w14:paraId="64571E01"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7D26FACE"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13559</w:t>
            </w:r>
          </w:p>
        </w:tc>
        <w:tc>
          <w:tcPr>
            <w:tcW w:w="1134" w:type="dxa"/>
            <w:tcBorders>
              <w:top w:val="single" w:sz="4" w:space="0" w:color="auto"/>
              <w:left w:val="single" w:sz="4" w:space="0" w:color="auto"/>
              <w:bottom w:val="single" w:sz="4" w:space="0" w:color="auto"/>
              <w:right w:val="single" w:sz="4" w:space="0" w:color="auto"/>
            </w:tcBorders>
            <w:vAlign w:val="center"/>
          </w:tcPr>
          <w:p w14:paraId="5B70A6FF"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13367</w:t>
            </w:r>
          </w:p>
        </w:tc>
        <w:tc>
          <w:tcPr>
            <w:tcW w:w="993" w:type="dxa"/>
            <w:tcBorders>
              <w:top w:val="single" w:sz="4" w:space="0" w:color="auto"/>
              <w:left w:val="single" w:sz="4" w:space="0" w:color="auto"/>
              <w:bottom w:val="single" w:sz="4" w:space="0" w:color="auto"/>
              <w:right w:val="single" w:sz="4" w:space="0" w:color="auto"/>
            </w:tcBorders>
            <w:vAlign w:val="center"/>
          </w:tcPr>
          <w:p w14:paraId="0BC36FB6"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13157</w:t>
            </w:r>
          </w:p>
        </w:tc>
        <w:tc>
          <w:tcPr>
            <w:tcW w:w="1134" w:type="dxa"/>
            <w:tcBorders>
              <w:top w:val="single" w:sz="4" w:space="0" w:color="auto"/>
              <w:left w:val="single" w:sz="4" w:space="0" w:color="auto"/>
              <w:bottom w:val="single" w:sz="4" w:space="0" w:color="auto"/>
              <w:right w:val="single" w:sz="4" w:space="0" w:color="auto"/>
            </w:tcBorders>
            <w:vAlign w:val="center"/>
          </w:tcPr>
          <w:p w14:paraId="63A1623F"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12913</w:t>
            </w:r>
          </w:p>
        </w:tc>
        <w:tc>
          <w:tcPr>
            <w:tcW w:w="1343" w:type="dxa"/>
            <w:tcBorders>
              <w:top w:val="single" w:sz="4" w:space="0" w:color="auto"/>
              <w:left w:val="single" w:sz="4" w:space="0" w:color="auto"/>
              <w:bottom w:val="single" w:sz="4" w:space="0" w:color="auto"/>
              <w:right w:val="single" w:sz="4" w:space="0" w:color="auto"/>
            </w:tcBorders>
            <w:vAlign w:val="center"/>
          </w:tcPr>
          <w:p w14:paraId="4142EF84"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12669</w:t>
            </w:r>
          </w:p>
        </w:tc>
        <w:tc>
          <w:tcPr>
            <w:tcW w:w="1208" w:type="dxa"/>
            <w:tcBorders>
              <w:top w:val="single" w:sz="4" w:space="0" w:color="auto"/>
              <w:left w:val="single" w:sz="4" w:space="0" w:color="auto"/>
              <w:bottom w:val="single" w:sz="4" w:space="0" w:color="auto"/>
            </w:tcBorders>
            <w:vAlign w:val="center"/>
          </w:tcPr>
          <w:p w14:paraId="3FEB729F"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12427</w:t>
            </w:r>
          </w:p>
        </w:tc>
      </w:tr>
      <w:tr w:rsidR="00F04841" w:rsidRPr="00B66512" w14:paraId="5C44D0FB" w14:textId="77777777" w:rsidTr="00F848E9">
        <w:trPr>
          <w:trHeight w:val="255"/>
        </w:trPr>
        <w:tc>
          <w:tcPr>
            <w:tcW w:w="2268" w:type="dxa"/>
            <w:tcBorders>
              <w:top w:val="single" w:sz="4" w:space="0" w:color="auto"/>
              <w:bottom w:val="single" w:sz="4" w:space="0" w:color="auto"/>
              <w:right w:val="single" w:sz="4" w:space="0" w:color="auto"/>
            </w:tcBorders>
          </w:tcPr>
          <w:p w14:paraId="7768206E" w14:textId="77777777" w:rsidR="00F04841" w:rsidRPr="00B66512" w:rsidRDefault="00F04841" w:rsidP="00F04841">
            <w:pPr>
              <w:autoSpaceDE w:val="0"/>
              <w:autoSpaceDN w:val="0"/>
              <w:adjustRightInd w:val="0"/>
              <w:spacing w:after="0" w:line="240" w:lineRule="auto"/>
              <w:ind w:left="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Численность населения в трудоспособном возрасте, в среднем за период</w:t>
            </w:r>
          </w:p>
        </w:tc>
        <w:tc>
          <w:tcPr>
            <w:tcW w:w="851" w:type="dxa"/>
            <w:tcBorders>
              <w:top w:val="single" w:sz="4" w:space="0" w:color="auto"/>
              <w:left w:val="single" w:sz="4" w:space="0" w:color="auto"/>
              <w:bottom w:val="single" w:sz="4" w:space="0" w:color="auto"/>
              <w:right w:val="single" w:sz="4" w:space="0" w:color="auto"/>
            </w:tcBorders>
          </w:tcPr>
          <w:p w14:paraId="70B105AF"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5233EFCD"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6425</w:t>
            </w:r>
          </w:p>
        </w:tc>
        <w:tc>
          <w:tcPr>
            <w:tcW w:w="1134" w:type="dxa"/>
            <w:tcBorders>
              <w:top w:val="single" w:sz="4" w:space="0" w:color="auto"/>
              <w:left w:val="single" w:sz="4" w:space="0" w:color="auto"/>
              <w:bottom w:val="single" w:sz="4" w:space="0" w:color="auto"/>
              <w:right w:val="single" w:sz="4" w:space="0" w:color="auto"/>
            </w:tcBorders>
            <w:vAlign w:val="center"/>
          </w:tcPr>
          <w:p w14:paraId="2D837499"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6407</w:t>
            </w:r>
          </w:p>
        </w:tc>
        <w:tc>
          <w:tcPr>
            <w:tcW w:w="993" w:type="dxa"/>
            <w:tcBorders>
              <w:top w:val="single" w:sz="4" w:space="0" w:color="auto"/>
              <w:left w:val="single" w:sz="4" w:space="0" w:color="auto"/>
              <w:bottom w:val="single" w:sz="4" w:space="0" w:color="auto"/>
              <w:right w:val="single" w:sz="4" w:space="0" w:color="auto"/>
            </w:tcBorders>
            <w:vAlign w:val="center"/>
          </w:tcPr>
          <w:p w14:paraId="271CE55B"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6457</w:t>
            </w:r>
          </w:p>
        </w:tc>
        <w:tc>
          <w:tcPr>
            <w:tcW w:w="1134" w:type="dxa"/>
            <w:tcBorders>
              <w:top w:val="single" w:sz="4" w:space="0" w:color="auto"/>
              <w:left w:val="single" w:sz="4" w:space="0" w:color="auto"/>
              <w:bottom w:val="single" w:sz="4" w:space="0" w:color="auto"/>
              <w:right w:val="single" w:sz="4" w:space="0" w:color="auto"/>
            </w:tcBorders>
            <w:vAlign w:val="center"/>
          </w:tcPr>
          <w:p w14:paraId="1A978A62"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6458</w:t>
            </w:r>
          </w:p>
        </w:tc>
        <w:tc>
          <w:tcPr>
            <w:tcW w:w="1343" w:type="dxa"/>
            <w:tcBorders>
              <w:top w:val="single" w:sz="4" w:space="0" w:color="auto"/>
              <w:left w:val="single" w:sz="4" w:space="0" w:color="auto"/>
              <w:bottom w:val="single" w:sz="4" w:space="0" w:color="auto"/>
              <w:right w:val="single" w:sz="4" w:space="0" w:color="auto"/>
            </w:tcBorders>
            <w:vAlign w:val="center"/>
          </w:tcPr>
          <w:p w14:paraId="42A49F87"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6452</w:t>
            </w:r>
          </w:p>
        </w:tc>
        <w:tc>
          <w:tcPr>
            <w:tcW w:w="1208" w:type="dxa"/>
            <w:tcBorders>
              <w:top w:val="single" w:sz="4" w:space="0" w:color="auto"/>
              <w:left w:val="single" w:sz="4" w:space="0" w:color="auto"/>
              <w:bottom w:val="single" w:sz="4" w:space="0" w:color="auto"/>
            </w:tcBorders>
            <w:vAlign w:val="center"/>
          </w:tcPr>
          <w:p w14:paraId="4088D449"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6468</w:t>
            </w:r>
          </w:p>
        </w:tc>
      </w:tr>
      <w:tr w:rsidR="00F04841" w:rsidRPr="00B66512" w14:paraId="19A8D7AE" w14:textId="77777777" w:rsidTr="00F848E9">
        <w:trPr>
          <w:trHeight w:val="255"/>
        </w:trPr>
        <w:tc>
          <w:tcPr>
            <w:tcW w:w="2268" w:type="dxa"/>
            <w:tcBorders>
              <w:top w:val="single" w:sz="4" w:space="0" w:color="auto"/>
              <w:bottom w:val="single" w:sz="4" w:space="0" w:color="auto"/>
              <w:right w:val="single" w:sz="4" w:space="0" w:color="auto"/>
            </w:tcBorders>
          </w:tcPr>
          <w:p w14:paraId="57120C91" w14:textId="77777777" w:rsidR="00F04841" w:rsidRPr="00B66512" w:rsidRDefault="00F04841" w:rsidP="00F04841">
            <w:pPr>
              <w:autoSpaceDE w:val="0"/>
              <w:autoSpaceDN w:val="0"/>
              <w:adjustRightInd w:val="0"/>
              <w:spacing w:after="0" w:line="240" w:lineRule="auto"/>
              <w:ind w:left="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Естественный прирост (+), убыль (-) населения</w:t>
            </w:r>
          </w:p>
        </w:tc>
        <w:tc>
          <w:tcPr>
            <w:tcW w:w="851" w:type="dxa"/>
            <w:tcBorders>
              <w:top w:val="single" w:sz="4" w:space="0" w:color="auto"/>
              <w:left w:val="single" w:sz="4" w:space="0" w:color="auto"/>
              <w:bottom w:val="single" w:sz="4" w:space="0" w:color="auto"/>
              <w:right w:val="single" w:sz="4" w:space="0" w:color="auto"/>
            </w:tcBorders>
          </w:tcPr>
          <w:p w14:paraId="6A78F947"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p>
          <w:p w14:paraId="3E001A7F"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25053DB9"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551DB5E7"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-129</w:t>
            </w:r>
          </w:p>
        </w:tc>
        <w:tc>
          <w:tcPr>
            <w:tcW w:w="993" w:type="dxa"/>
            <w:tcBorders>
              <w:top w:val="single" w:sz="4" w:space="0" w:color="auto"/>
              <w:left w:val="single" w:sz="4" w:space="0" w:color="auto"/>
              <w:bottom w:val="single" w:sz="4" w:space="0" w:color="auto"/>
              <w:right w:val="single" w:sz="4" w:space="0" w:color="auto"/>
            </w:tcBorders>
            <w:vAlign w:val="center"/>
          </w:tcPr>
          <w:p w14:paraId="6FD834A2"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-138</w:t>
            </w:r>
          </w:p>
        </w:tc>
        <w:tc>
          <w:tcPr>
            <w:tcW w:w="1134" w:type="dxa"/>
            <w:tcBorders>
              <w:top w:val="single" w:sz="4" w:space="0" w:color="auto"/>
              <w:left w:val="single" w:sz="4" w:space="0" w:color="auto"/>
              <w:bottom w:val="single" w:sz="4" w:space="0" w:color="auto"/>
              <w:right w:val="single" w:sz="4" w:space="0" w:color="auto"/>
            </w:tcBorders>
            <w:vAlign w:val="center"/>
          </w:tcPr>
          <w:p w14:paraId="54682343"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-132</w:t>
            </w:r>
          </w:p>
        </w:tc>
        <w:tc>
          <w:tcPr>
            <w:tcW w:w="1343" w:type="dxa"/>
            <w:tcBorders>
              <w:top w:val="single" w:sz="4" w:space="0" w:color="auto"/>
              <w:left w:val="single" w:sz="4" w:space="0" w:color="auto"/>
              <w:bottom w:val="single" w:sz="4" w:space="0" w:color="auto"/>
              <w:right w:val="single" w:sz="4" w:space="0" w:color="auto"/>
            </w:tcBorders>
            <w:vAlign w:val="center"/>
          </w:tcPr>
          <w:p w14:paraId="3A1D9749"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-126</w:t>
            </w:r>
          </w:p>
        </w:tc>
        <w:tc>
          <w:tcPr>
            <w:tcW w:w="1208" w:type="dxa"/>
            <w:tcBorders>
              <w:top w:val="single" w:sz="4" w:space="0" w:color="auto"/>
              <w:left w:val="single" w:sz="4" w:space="0" w:color="auto"/>
              <w:bottom w:val="single" w:sz="4" w:space="0" w:color="auto"/>
            </w:tcBorders>
            <w:vAlign w:val="center"/>
          </w:tcPr>
          <w:p w14:paraId="1C418C1C"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-120</w:t>
            </w:r>
          </w:p>
        </w:tc>
      </w:tr>
      <w:tr w:rsidR="00F04841" w:rsidRPr="00B66512" w14:paraId="0257EECF" w14:textId="77777777" w:rsidTr="00F848E9">
        <w:trPr>
          <w:trHeight w:val="255"/>
        </w:trPr>
        <w:tc>
          <w:tcPr>
            <w:tcW w:w="2268" w:type="dxa"/>
            <w:tcBorders>
              <w:top w:val="single" w:sz="4" w:space="0" w:color="auto"/>
              <w:bottom w:val="single" w:sz="4" w:space="0" w:color="auto"/>
              <w:right w:val="single" w:sz="4" w:space="0" w:color="auto"/>
            </w:tcBorders>
          </w:tcPr>
          <w:p w14:paraId="7D66E8F4" w14:textId="77777777" w:rsidR="00F04841" w:rsidRPr="00B66512" w:rsidRDefault="00F04841" w:rsidP="00F04841">
            <w:pPr>
              <w:autoSpaceDE w:val="0"/>
              <w:autoSpaceDN w:val="0"/>
              <w:adjustRightInd w:val="0"/>
              <w:spacing w:after="0" w:line="240" w:lineRule="auto"/>
              <w:ind w:left="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Миграционный прирост (снижение) населения</w:t>
            </w:r>
          </w:p>
        </w:tc>
        <w:tc>
          <w:tcPr>
            <w:tcW w:w="851" w:type="dxa"/>
            <w:tcBorders>
              <w:top w:val="single" w:sz="4" w:space="0" w:color="auto"/>
              <w:left w:val="single" w:sz="4" w:space="0" w:color="auto"/>
              <w:bottom w:val="single" w:sz="4" w:space="0" w:color="auto"/>
              <w:right w:val="single" w:sz="4" w:space="0" w:color="auto"/>
            </w:tcBorders>
          </w:tcPr>
          <w:p w14:paraId="7003C210"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p>
          <w:p w14:paraId="5B38CF87"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2D7E67A7"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-59</w:t>
            </w:r>
          </w:p>
        </w:tc>
        <w:tc>
          <w:tcPr>
            <w:tcW w:w="1134" w:type="dxa"/>
            <w:tcBorders>
              <w:top w:val="single" w:sz="4" w:space="0" w:color="auto"/>
              <w:left w:val="single" w:sz="4" w:space="0" w:color="auto"/>
              <w:bottom w:val="single" w:sz="4" w:space="0" w:color="auto"/>
              <w:right w:val="single" w:sz="4" w:space="0" w:color="auto"/>
            </w:tcBorders>
            <w:vAlign w:val="center"/>
          </w:tcPr>
          <w:p w14:paraId="655B43F0"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-76</w:t>
            </w:r>
          </w:p>
        </w:tc>
        <w:tc>
          <w:tcPr>
            <w:tcW w:w="993" w:type="dxa"/>
            <w:tcBorders>
              <w:top w:val="single" w:sz="4" w:space="0" w:color="auto"/>
              <w:left w:val="single" w:sz="4" w:space="0" w:color="auto"/>
              <w:bottom w:val="single" w:sz="4" w:space="0" w:color="auto"/>
              <w:right w:val="single" w:sz="4" w:space="0" w:color="auto"/>
            </w:tcBorders>
            <w:vAlign w:val="center"/>
          </w:tcPr>
          <w:p w14:paraId="794A38F5"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-106</w:t>
            </w:r>
          </w:p>
        </w:tc>
        <w:tc>
          <w:tcPr>
            <w:tcW w:w="1134" w:type="dxa"/>
            <w:tcBorders>
              <w:top w:val="single" w:sz="4" w:space="0" w:color="auto"/>
              <w:left w:val="single" w:sz="4" w:space="0" w:color="auto"/>
              <w:bottom w:val="single" w:sz="4" w:space="0" w:color="auto"/>
              <w:right w:val="single" w:sz="4" w:space="0" w:color="auto"/>
            </w:tcBorders>
            <w:vAlign w:val="center"/>
          </w:tcPr>
          <w:p w14:paraId="2F7808FD"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-112</w:t>
            </w:r>
          </w:p>
        </w:tc>
        <w:tc>
          <w:tcPr>
            <w:tcW w:w="1343" w:type="dxa"/>
            <w:tcBorders>
              <w:top w:val="single" w:sz="4" w:space="0" w:color="auto"/>
              <w:left w:val="single" w:sz="4" w:space="0" w:color="auto"/>
              <w:bottom w:val="single" w:sz="4" w:space="0" w:color="auto"/>
              <w:right w:val="single" w:sz="4" w:space="0" w:color="auto"/>
            </w:tcBorders>
            <w:vAlign w:val="center"/>
          </w:tcPr>
          <w:p w14:paraId="2AFDA0A9"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-116</w:t>
            </w:r>
          </w:p>
        </w:tc>
        <w:tc>
          <w:tcPr>
            <w:tcW w:w="1208" w:type="dxa"/>
            <w:tcBorders>
              <w:top w:val="single" w:sz="4" w:space="0" w:color="auto"/>
              <w:left w:val="single" w:sz="4" w:space="0" w:color="auto"/>
              <w:bottom w:val="single" w:sz="4" w:space="0" w:color="auto"/>
            </w:tcBorders>
            <w:vAlign w:val="center"/>
          </w:tcPr>
          <w:p w14:paraId="5F09498F"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-105</w:t>
            </w:r>
          </w:p>
        </w:tc>
      </w:tr>
      <w:tr w:rsidR="00F04841" w:rsidRPr="00B66512" w14:paraId="5F2DDA02" w14:textId="77777777" w:rsidTr="00F848E9">
        <w:trPr>
          <w:trHeight w:val="255"/>
        </w:trPr>
        <w:tc>
          <w:tcPr>
            <w:tcW w:w="2268" w:type="dxa"/>
            <w:tcBorders>
              <w:top w:val="single" w:sz="4" w:space="0" w:color="auto"/>
              <w:bottom w:val="single" w:sz="4" w:space="0" w:color="auto"/>
              <w:right w:val="single" w:sz="4" w:space="0" w:color="auto"/>
            </w:tcBorders>
          </w:tcPr>
          <w:p w14:paraId="02713858" w14:textId="77777777" w:rsidR="00F04841" w:rsidRPr="00B66512" w:rsidRDefault="00F04841" w:rsidP="00F04841">
            <w:pPr>
              <w:autoSpaceDE w:val="0"/>
              <w:autoSpaceDN w:val="0"/>
              <w:adjustRightInd w:val="0"/>
              <w:spacing w:after="0" w:line="240" w:lineRule="auto"/>
              <w:ind w:left="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Количество родившихся за период</w:t>
            </w:r>
          </w:p>
        </w:tc>
        <w:tc>
          <w:tcPr>
            <w:tcW w:w="851" w:type="dxa"/>
            <w:tcBorders>
              <w:top w:val="single" w:sz="4" w:space="0" w:color="auto"/>
              <w:left w:val="single" w:sz="4" w:space="0" w:color="auto"/>
              <w:bottom w:val="single" w:sz="4" w:space="0" w:color="auto"/>
              <w:right w:val="single" w:sz="4" w:space="0" w:color="auto"/>
            </w:tcBorders>
          </w:tcPr>
          <w:p w14:paraId="4C8B43D7"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5B65E9A"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1058016E"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133</w:t>
            </w:r>
          </w:p>
        </w:tc>
        <w:tc>
          <w:tcPr>
            <w:tcW w:w="993" w:type="dxa"/>
            <w:tcBorders>
              <w:top w:val="single" w:sz="4" w:space="0" w:color="auto"/>
              <w:left w:val="single" w:sz="4" w:space="0" w:color="auto"/>
              <w:bottom w:val="single" w:sz="4" w:space="0" w:color="auto"/>
              <w:right w:val="single" w:sz="4" w:space="0" w:color="auto"/>
            </w:tcBorders>
            <w:vAlign w:val="center"/>
          </w:tcPr>
          <w:p w14:paraId="1B3B9761"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119</w:t>
            </w:r>
          </w:p>
        </w:tc>
        <w:tc>
          <w:tcPr>
            <w:tcW w:w="1134" w:type="dxa"/>
            <w:tcBorders>
              <w:top w:val="single" w:sz="4" w:space="0" w:color="auto"/>
              <w:left w:val="single" w:sz="4" w:space="0" w:color="auto"/>
              <w:bottom w:val="single" w:sz="4" w:space="0" w:color="auto"/>
              <w:right w:val="single" w:sz="4" w:space="0" w:color="auto"/>
            </w:tcBorders>
            <w:vAlign w:val="center"/>
          </w:tcPr>
          <w:p w14:paraId="582B237A"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120</w:t>
            </w:r>
          </w:p>
        </w:tc>
        <w:tc>
          <w:tcPr>
            <w:tcW w:w="1343" w:type="dxa"/>
            <w:tcBorders>
              <w:top w:val="single" w:sz="4" w:space="0" w:color="auto"/>
              <w:left w:val="single" w:sz="4" w:space="0" w:color="auto"/>
              <w:bottom w:val="single" w:sz="4" w:space="0" w:color="auto"/>
              <w:right w:val="single" w:sz="4" w:space="0" w:color="auto"/>
            </w:tcBorders>
            <w:vAlign w:val="center"/>
          </w:tcPr>
          <w:p w14:paraId="09FCE4DA"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121</w:t>
            </w:r>
          </w:p>
        </w:tc>
        <w:tc>
          <w:tcPr>
            <w:tcW w:w="1208" w:type="dxa"/>
            <w:tcBorders>
              <w:top w:val="single" w:sz="4" w:space="0" w:color="auto"/>
              <w:left w:val="single" w:sz="4" w:space="0" w:color="auto"/>
              <w:bottom w:val="single" w:sz="4" w:space="0" w:color="auto"/>
            </w:tcBorders>
            <w:vAlign w:val="center"/>
          </w:tcPr>
          <w:p w14:paraId="45E43764"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122</w:t>
            </w:r>
          </w:p>
        </w:tc>
      </w:tr>
      <w:tr w:rsidR="00F04841" w:rsidRPr="00B66512" w14:paraId="5B6EADA9" w14:textId="77777777" w:rsidTr="00F848E9">
        <w:trPr>
          <w:trHeight w:val="255"/>
        </w:trPr>
        <w:tc>
          <w:tcPr>
            <w:tcW w:w="2268" w:type="dxa"/>
            <w:tcBorders>
              <w:top w:val="single" w:sz="4" w:space="0" w:color="auto"/>
              <w:bottom w:val="single" w:sz="4" w:space="0" w:color="auto"/>
              <w:right w:val="single" w:sz="4" w:space="0" w:color="auto"/>
            </w:tcBorders>
          </w:tcPr>
          <w:p w14:paraId="7D116107" w14:textId="77777777" w:rsidR="00F04841" w:rsidRPr="00B66512" w:rsidRDefault="00F04841" w:rsidP="00F04841">
            <w:pPr>
              <w:autoSpaceDE w:val="0"/>
              <w:autoSpaceDN w:val="0"/>
              <w:adjustRightInd w:val="0"/>
              <w:spacing w:after="0" w:line="240" w:lineRule="auto"/>
              <w:ind w:left="72"/>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Количество умерших за период</w:t>
            </w:r>
          </w:p>
        </w:tc>
        <w:tc>
          <w:tcPr>
            <w:tcW w:w="851" w:type="dxa"/>
            <w:tcBorders>
              <w:top w:val="single" w:sz="4" w:space="0" w:color="auto"/>
              <w:left w:val="single" w:sz="4" w:space="0" w:color="auto"/>
              <w:bottom w:val="single" w:sz="4" w:space="0" w:color="auto"/>
              <w:right w:val="single" w:sz="4" w:space="0" w:color="auto"/>
            </w:tcBorders>
          </w:tcPr>
          <w:p w14:paraId="1EC455BC" w14:textId="77777777" w:rsidR="00F04841" w:rsidRPr="00B66512" w:rsidRDefault="00F04841" w:rsidP="00F04841">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D19E170"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258</w:t>
            </w:r>
          </w:p>
        </w:tc>
        <w:tc>
          <w:tcPr>
            <w:tcW w:w="1134" w:type="dxa"/>
            <w:tcBorders>
              <w:top w:val="single" w:sz="4" w:space="0" w:color="auto"/>
              <w:left w:val="single" w:sz="4" w:space="0" w:color="auto"/>
              <w:bottom w:val="single" w:sz="4" w:space="0" w:color="auto"/>
              <w:right w:val="single" w:sz="4" w:space="0" w:color="auto"/>
            </w:tcBorders>
            <w:vAlign w:val="center"/>
          </w:tcPr>
          <w:p w14:paraId="14EA8538"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262</w:t>
            </w:r>
          </w:p>
        </w:tc>
        <w:tc>
          <w:tcPr>
            <w:tcW w:w="993" w:type="dxa"/>
            <w:tcBorders>
              <w:top w:val="single" w:sz="4" w:space="0" w:color="auto"/>
              <w:left w:val="single" w:sz="4" w:space="0" w:color="auto"/>
              <w:bottom w:val="single" w:sz="4" w:space="0" w:color="auto"/>
              <w:right w:val="single" w:sz="4" w:space="0" w:color="auto"/>
            </w:tcBorders>
            <w:vAlign w:val="center"/>
          </w:tcPr>
          <w:p w14:paraId="04056ED1"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257</w:t>
            </w:r>
          </w:p>
        </w:tc>
        <w:tc>
          <w:tcPr>
            <w:tcW w:w="1134" w:type="dxa"/>
            <w:tcBorders>
              <w:top w:val="single" w:sz="4" w:space="0" w:color="auto"/>
              <w:left w:val="single" w:sz="4" w:space="0" w:color="auto"/>
              <w:bottom w:val="single" w:sz="4" w:space="0" w:color="auto"/>
              <w:right w:val="single" w:sz="4" w:space="0" w:color="auto"/>
            </w:tcBorders>
            <w:vAlign w:val="center"/>
          </w:tcPr>
          <w:p w14:paraId="5F79079D"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252</w:t>
            </w:r>
          </w:p>
        </w:tc>
        <w:tc>
          <w:tcPr>
            <w:tcW w:w="1343" w:type="dxa"/>
            <w:tcBorders>
              <w:top w:val="single" w:sz="4" w:space="0" w:color="auto"/>
              <w:left w:val="single" w:sz="4" w:space="0" w:color="auto"/>
              <w:bottom w:val="single" w:sz="4" w:space="0" w:color="auto"/>
              <w:right w:val="single" w:sz="4" w:space="0" w:color="auto"/>
            </w:tcBorders>
            <w:vAlign w:val="center"/>
          </w:tcPr>
          <w:p w14:paraId="4125FB03"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247</w:t>
            </w:r>
          </w:p>
        </w:tc>
        <w:tc>
          <w:tcPr>
            <w:tcW w:w="1208" w:type="dxa"/>
            <w:tcBorders>
              <w:top w:val="single" w:sz="4" w:space="0" w:color="auto"/>
              <w:left w:val="single" w:sz="4" w:space="0" w:color="auto"/>
              <w:bottom w:val="single" w:sz="4" w:space="0" w:color="auto"/>
            </w:tcBorders>
            <w:vAlign w:val="center"/>
          </w:tcPr>
          <w:p w14:paraId="691B67EC" w14:textId="77777777" w:rsidR="00F04841" w:rsidRPr="00B66512" w:rsidRDefault="00F04841" w:rsidP="00F04841">
            <w:pPr>
              <w:autoSpaceDE w:val="0"/>
              <w:autoSpaceDN w:val="0"/>
              <w:adjustRightInd w:val="0"/>
              <w:spacing w:after="0" w:line="240" w:lineRule="auto"/>
              <w:jc w:val="center"/>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242</w:t>
            </w:r>
          </w:p>
        </w:tc>
      </w:tr>
    </w:tbl>
    <w:p w14:paraId="40091FEF" w14:textId="77777777" w:rsidR="00F04841" w:rsidRPr="00B66512" w:rsidRDefault="00F04841" w:rsidP="00F04841">
      <w:pPr>
        <w:spacing w:after="0" w:line="240" w:lineRule="auto"/>
        <w:ind w:firstLine="709"/>
        <w:jc w:val="both"/>
        <w:rPr>
          <w:rFonts w:ascii="Times New Roman CYR" w:hAnsi="Times New Roman CYR" w:cs="Times New Roman CYR"/>
          <w:sz w:val="28"/>
          <w:szCs w:val="28"/>
        </w:rPr>
      </w:pPr>
    </w:p>
    <w:p w14:paraId="391AF11C" w14:textId="77777777" w:rsidR="00F04841" w:rsidRPr="00B66512" w:rsidRDefault="00F04841" w:rsidP="00F04841">
      <w:pPr>
        <w:spacing w:after="0" w:line="240" w:lineRule="auto"/>
        <w:ind w:firstLine="709"/>
        <w:jc w:val="both"/>
        <w:rPr>
          <w:rFonts w:ascii="Times New Roman" w:hAnsi="Times New Roman"/>
          <w:sz w:val="28"/>
          <w:szCs w:val="28"/>
        </w:rPr>
      </w:pPr>
      <w:r w:rsidRPr="00B66512">
        <w:rPr>
          <w:rFonts w:ascii="Times New Roman" w:hAnsi="Times New Roman"/>
          <w:sz w:val="28"/>
          <w:szCs w:val="28"/>
        </w:rPr>
        <w:t>По данным Федеральной службы государственной статистики по Красноярскому краю  среднегодовая численность населения на конец  2023 года по сравнению с 2022 годом уменьшилась на 201 человек  и составила 13262 человека. Основная причина – естественная убыль населения и миграционный отток. По оценке 2024 года ожидается снижение численности населения на 227 человек, в прогнозируемом периоде 2025-2027 годов население уменьшится на 947 человек по отношению к фактическому периоду 2023 года и составит 12315 человек.  (снижение на 7,14% к 2023 году).</w:t>
      </w:r>
    </w:p>
    <w:p w14:paraId="59A09E7B" w14:textId="77777777" w:rsidR="00F04841" w:rsidRPr="00B66512" w:rsidRDefault="00F04841" w:rsidP="00F04841">
      <w:pPr>
        <w:spacing w:after="0" w:line="240" w:lineRule="auto"/>
        <w:ind w:firstLine="700"/>
        <w:jc w:val="both"/>
        <w:rPr>
          <w:rFonts w:ascii="Times New Roman CYR" w:hAnsi="Times New Roman CYR" w:cs="Times New Roman CYR"/>
          <w:sz w:val="28"/>
          <w:szCs w:val="28"/>
        </w:rPr>
      </w:pPr>
      <w:r w:rsidRPr="00B66512">
        <w:rPr>
          <w:rFonts w:ascii="Times New Roman" w:hAnsi="Times New Roman"/>
          <w:sz w:val="28"/>
          <w:szCs w:val="28"/>
        </w:rPr>
        <w:t>Численность населения в трудоспособном возрасте за 2023 год по сравнению с 2022 годом уменьшилась на 18 человек и составила 6407 человек. По оценке 2024 года ожидается рост на 50 человек к отчетному периоду 2023 года, составит 6457 человек. На 2025-2027 года планируется к уровню 2023 года рост на 61 человек и составит 6468 человек.</w:t>
      </w:r>
    </w:p>
    <w:p w14:paraId="01ECB053" w14:textId="77777777" w:rsidR="00F04841" w:rsidRPr="00B66512" w:rsidRDefault="00F04841" w:rsidP="00F04841">
      <w:pPr>
        <w:keepNext/>
        <w:spacing w:after="0" w:line="240" w:lineRule="auto"/>
        <w:ind w:firstLine="709"/>
        <w:jc w:val="both"/>
        <w:outlineLvl w:val="1"/>
        <w:rPr>
          <w:rFonts w:ascii="Times New Roman" w:hAnsi="Times New Roman"/>
          <w:bCs/>
          <w:iCs/>
          <w:sz w:val="28"/>
          <w:szCs w:val="28"/>
        </w:rPr>
      </w:pPr>
      <w:r w:rsidRPr="00B66512">
        <w:rPr>
          <w:rFonts w:ascii="Times New Roman" w:hAnsi="Times New Roman"/>
          <w:bCs/>
          <w:iCs/>
          <w:sz w:val="28"/>
          <w:szCs w:val="28"/>
        </w:rPr>
        <w:lastRenderedPageBreak/>
        <w:t xml:space="preserve">Родилось детей в 2023 году на 8 детей больше, чем в 2022 г. и составило 133 человек, по оценке 2024 года ожидается 119 детей, в прогнозируемом периоде 2025-2027 годах планируется с уменьшение на 11 человек к 2023 году и составит 122 человека. Численность умерших за 2023 год составила 262 человека. К 2027 году ожидается уменьшение умерших на 20 человек. </w:t>
      </w:r>
    </w:p>
    <w:p w14:paraId="7035193F" w14:textId="77777777" w:rsidR="00F04841" w:rsidRPr="00B66512" w:rsidRDefault="00F04841" w:rsidP="00F04841">
      <w:pPr>
        <w:keepNext/>
        <w:spacing w:after="0" w:line="240" w:lineRule="auto"/>
        <w:ind w:firstLine="709"/>
        <w:jc w:val="both"/>
        <w:outlineLvl w:val="1"/>
        <w:rPr>
          <w:rFonts w:ascii="Times New Roman" w:hAnsi="Times New Roman"/>
          <w:bCs/>
          <w:iCs/>
          <w:sz w:val="28"/>
          <w:szCs w:val="28"/>
        </w:rPr>
      </w:pPr>
      <w:r w:rsidRPr="00B66512">
        <w:rPr>
          <w:rFonts w:ascii="Times New Roman" w:hAnsi="Times New Roman"/>
          <w:bCs/>
          <w:iCs/>
          <w:sz w:val="28"/>
          <w:szCs w:val="28"/>
        </w:rPr>
        <w:t xml:space="preserve">По итогам 2023 года коэффициент естественного прироста на 1 тыс. человек населения составил минус 9,70 человек и наблюдается положительная динамика по отношению к прошлому 2022 году. Оценка 2024 года  предполагает снижение  коэффициента естественного прироста населения до минус 10,59 чел., в прогнозном периоде 2025-2027 годы - до минус 9,74 чел.  </w:t>
      </w:r>
    </w:p>
    <w:p w14:paraId="40166F77" w14:textId="77777777" w:rsidR="00A502E4" w:rsidRPr="00B66512" w:rsidRDefault="00F04841" w:rsidP="00F04841">
      <w:pPr>
        <w:keepNext/>
        <w:spacing w:after="0" w:line="240" w:lineRule="auto"/>
        <w:ind w:firstLine="709"/>
        <w:jc w:val="both"/>
        <w:outlineLvl w:val="1"/>
        <w:rPr>
          <w:rFonts w:ascii="Times New Roman" w:hAnsi="Times New Roman"/>
          <w:bCs/>
          <w:iCs/>
          <w:sz w:val="28"/>
          <w:szCs w:val="28"/>
        </w:rPr>
      </w:pPr>
      <w:r w:rsidRPr="00B66512">
        <w:rPr>
          <w:rFonts w:ascii="Times New Roman" w:hAnsi="Times New Roman"/>
          <w:bCs/>
          <w:iCs/>
          <w:sz w:val="28"/>
          <w:szCs w:val="28"/>
        </w:rPr>
        <w:t>Миграционная убыль населения в 2023 году  составила 76 человек. По оценке  2024 г. и плановом периоде 2025-2027 гг. ожидается, что миграционный отток населения увеличится и составит минус 105 чел.</w:t>
      </w:r>
      <w:bookmarkEnd w:id="1"/>
      <w:bookmarkEnd w:id="2"/>
    </w:p>
    <w:p w14:paraId="37BEF016" w14:textId="77777777" w:rsidR="00A502E4" w:rsidRPr="00B66512" w:rsidRDefault="00A502E4">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14:paraId="330D5D40"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16. Образование</w:t>
      </w:r>
    </w:p>
    <w:p w14:paraId="22BF3140"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1BD1254A"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bookmarkStart w:id="3" w:name="_Toc137552980"/>
      <w:bookmarkStart w:id="4" w:name="_Toc177304562"/>
      <w:bookmarkStart w:id="5" w:name="_Toc209323015"/>
      <w:r w:rsidRPr="00B66512">
        <w:rPr>
          <w:rFonts w:ascii="Times New Roman CYR" w:hAnsi="Times New Roman CYR" w:cs="Times New Roman CYR"/>
          <w:bCs/>
          <w:sz w:val="28"/>
          <w:szCs w:val="28"/>
        </w:rPr>
        <w:t>Муниципальная образовательная система – это развитая сеть учреждений, которые предоставляют широкий спектр образовательных услуг различного уровня. В 2023 году в системе образования функционировало 26 муниципальных образовательных учреждений, реализующих программы дошкольного, общего и дополнительного образования:</w:t>
      </w:r>
    </w:p>
    <w:p w14:paraId="419054D6"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9 общеобразовательных учреждений  среднего общего образования;</w:t>
      </w:r>
    </w:p>
    <w:p w14:paraId="59135E1F"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4 учреждения, реализующие программы основного общего образования;</w:t>
      </w:r>
    </w:p>
    <w:p w14:paraId="570EB6EF"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10 дошкольных образовательных учреждений;</w:t>
      </w:r>
    </w:p>
    <w:p w14:paraId="6A8CC956"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3 учреждения дополнительного образования.</w:t>
      </w:r>
    </w:p>
    <w:p w14:paraId="3614D244"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i/>
          <w:sz w:val="28"/>
          <w:szCs w:val="28"/>
        </w:rPr>
        <w:t>В  сфере  дошкольного  образования</w:t>
      </w:r>
      <w:r w:rsidRPr="00B66512">
        <w:rPr>
          <w:rFonts w:ascii="Times New Roman CYR" w:hAnsi="Times New Roman CYR" w:cs="Times New Roman CYR"/>
          <w:bCs/>
          <w:sz w:val="28"/>
          <w:szCs w:val="28"/>
        </w:rPr>
        <w:t xml:space="preserve"> Управлением образования  используется автоматизированная информационная система учета детей, нуждающихся  в  услугах дошкольного  образования  «АИС.  Дошкольник».  С  помощью  этой программы  осуществляется   ежемесячный  мониторинг численности  детей, получающих образовательные услуги по дошкольному образованию и состоящих на очереди.</w:t>
      </w:r>
    </w:p>
    <w:p w14:paraId="57D3555D"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Количество мест в дошкольных образовательных организациях муниципальной формы собственности на конец 2023 года - 611.</w:t>
      </w:r>
    </w:p>
    <w:p w14:paraId="617EC8BE"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Численность детей от 1 до 6 лет, состоящих на учете для определения в дошкольные образовательные учреждения муниципальной формы собственности на конец 2023 года составила 0 человек.</w:t>
      </w:r>
    </w:p>
    <w:p w14:paraId="57E819CF"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xml:space="preserve">Численность детей, посещающих дошкольные образовательные учреждения муниципальной формы собственности на конец 2023 года составила 536 детей. </w:t>
      </w:r>
    </w:p>
    <w:p w14:paraId="7E32EC8B"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xml:space="preserve">Численность детей в возрасте от 1 до 6 лет, получающих дошкольную образовательную услугу и (или) услугу по их содержанию в </w:t>
      </w:r>
      <w:r w:rsidRPr="00B66512">
        <w:rPr>
          <w:rFonts w:ascii="Times New Roman CYR" w:hAnsi="Times New Roman CYR" w:cs="Times New Roman CYR"/>
          <w:bCs/>
          <w:sz w:val="28"/>
          <w:szCs w:val="28"/>
        </w:rPr>
        <w:lastRenderedPageBreak/>
        <w:t xml:space="preserve">общеобразовательных учреждениях муниципальной формы собственности на конец 2023 года составила 406 детей. </w:t>
      </w:r>
    </w:p>
    <w:p w14:paraId="02A9823E"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Численность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составила 486 человек.</w:t>
      </w:r>
      <w:r w:rsidRPr="00B66512">
        <w:rPr>
          <w:rFonts w:ascii="Times New Roman" w:hAnsi="Times New Roman"/>
          <w:sz w:val="24"/>
          <w:szCs w:val="24"/>
        </w:rPr>
        <w:t xml:space="preserve"> </w:t>
      </w:r>
      <w:r w:rsidRPr="00B66512">
        <w:rPr>
          <w:rFonts w:ascii="Times New Roman CYR" w:hAnsi="Times New Roman CYR" w:cs="Times New Roman CYR"/>
          <w:bCs/>
          <w:sz w:val="28"/>
          <w:szCs w:val="28"/>
        </w:rPr>
        <w:t>По оценке 2024 года показатель охвата дошкольным образованием детей увеличится до 510 человек за счет открытия 3 групп. В плановом периоде 2025 – 2027 г. показатель останется на прежнем уровне.</w:t>
      </w:r>
    </w:p>
    <w:p w14:paraId="3BF62DCF"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Численность детей в расчете на 100 мест в дошкольных образовательных организациях на конец 2023 года 85,88%.</w:t>
      </w:r>
    </w:p>
    <w:p w14:paraId="6E483B43"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i/>
          <w:sz w:val="28"/>
          <w:szCs w:val="28"/>
        </w:rPr>
        <w:t>В сфере общего образования</w:t>
      </w:r>
      <w:r w:rsidRPr="00B66512">
        <w:rPr>
          <w:rFonts w:ascii="Times New Roman CYR" w:hAnsi="Times New Roman CYR" w:cs="Times New Roman CYR"/>
          <w:bCs/>
          <w:sz w:val="28"/>
          <w:szCs w:val="28"/>
        </w:rPr>
        <w:t xml:space="preserve"> на 1 сентября 2023 года  в школах района обучалось 2051  человек, что на 37 человек меньше,  чем  в  2022  году.  Количество первоклассников уменьшилось с 217 человек до 195.  </w:t>
      </w:r>
    </w:p>
    <w:p w14:paraId="64165ABF"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В 2023 году 5 зданий общеобразовательных организаций всех форм собственности, требовали капитального ремонта (МБОУ Каратузская СОШ – 3 здания, МБОУ Качульская СОШ, МБОУ Моторская СОШ). По оценке 2024 года показатель изменится с 5 до 4 в связи с капитальным ремонтом одного здания МБОУ Моторская СОШ. В плановом периоде 2025 – 2027г. показатель изменится с 4 до 3 в связи с планируемым капитальным ремонтом одного здания МБОУ Каратузская СОШ.</w:t>
      </w:r>
    </w:p>
    <w:p w14:paraId="48A43052"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В 2023 году количество педагогов незначительно снизилось по сравнению с 2022 годом, и составило 240 человек. Количество учащихся на одного педагога осталось на уровне 2022 года и составило 8 человек. В 2023 году в образовательные учреждения пришел 1 молодой педагог (в 2022 г. – 4 человека). Всем молодым педагогам муниципальных образовательных учреждений, подведомственных управлению образования администрации Каратузского района выплачиваются подъемные в размере 20690,00 рублей.</w:t>
      </w:r>
    </w:p>
    <w:p w14:paraId="5DDE98F2"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Одним из показателей качества образования являются результаты освоения образовательных программ, учебные достижения школьников. Анализ учебных достижений позволяет говорить о тенденции  повышения  качества  знаний  обучающихся  школ  района  при сохраняющемся уровне успеваемости.</w:t>
      </w:r>
    </w:p>
    <w:p w14:paraId="3F9E6FFA"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xml:space="preserve">В 2023 году </w:t>
      </w:r>
      <w:r w:rsidRPr="00B66512">
        <w:rPr>
          <w:rFonts w:ascii="Times New Roman" w:hAnsi="Times New Roman"/>
          <w:sz w:val="28"/>
          <w:szCs w:val="28"/>
        </w:rPr>
        <w:t>Единый Государственный Экзамен (далее – ЕГЭ) в районе сдавало 76 человек. Выпускники для получения аттестата сдавали обязательные предметы (математику и русский язык), а также предметы по выбору для поступления в ВУЗы.</w:t>
      </w:r>
    </w:p>
    <w:p w14:paraId="3C3AB186"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xml:space="preserve">В результате 97,3% учащихся получили аттестат о среднем образовании. Из них аттестат с отличием и медаль «За особые успехи в учении» получили 2 </w:t>
      </w:r>
      <w:r w:rsidRPr="00B66512">
        <w:rPr>
          <w:rFonts w:ascii="Times New Roman" w:hAnsi="Times New Roman"/>
          <w:sz w:val="28"/>
          <w:szCs w:val="28"/>
        </w:rPr>
        <w:t>(1 из МБОУ Каратузская СОШ, 1 из МОБУ Нижнекужебарская СОШ), ученики</w:t>
      </w:r>
      <w:r w:rsidRPr="00B66512">
        <w:rPr>
          <w:rFonts w:ascii="Times New Roman CYR" w:hAnsi="Times New Roman CYR" w:cs="Times New Roman CYR"/>
          <w:bCs/>
          <w:sz w:val="28"/>
          <w:szCs w:val="28"/>
        </w:rPr>
        <w:t xml:space="preserve"> набрали определенное количество баллов по обязательным предметам, чем подтвердили уровень своего образования.</w:t>
      </w:r>
    </w:p>
    <w:p w14:paraId="32B92424" w14:textId="77777777" w:rsidR="00706797" w:rsidRPr="00B66512" w:rsidRDefault="00706797" w:rsidP="00706797">
      <w:pPr>
        <w:widowControl w:val="0"/>
        <w:pBdr>
          <w:bottom w:val="single" w:sz="4" w:space="0" w:color="FFFFFF"/>
        </w:pBdr>
        <w:tabs>
          <w:tab w:val="left" w:pos="0"/>
        </w:tabs>
        <w:autoSpaceDE w:val="0"/>
        <w:spacing w:after="0" w:line="240" w:lineRule="auto"/>
        <w:ind w:firstLine="708"/>
        <w:jc w:val="both"/>
        <w:rPr>
          <w:rFonts w:ascii="Times New Roman" w:hAnsi="Times New Roman"/>
          <w:sz w:val="28"/>
          <w:szCs w:val="28"/>
        </w:rPr>
      </w:pPr>
      <w:r w:rsidRPr="00B66512">
        <w:rPr>
          <w:rFonts w:ascii="Times New Roman CYR" w:hAnsi="Times New Roman CYR" w:cs="Times New Roman CYR"/>
          <w:bCs/>
          <w:sz w:val="28"/>
          <w:szCs w:val="28"/>
        </w:rPr>
        <w:t xml:space="preserve">Аттестаты об основном общем образовании получили 172 выпускника 9-х </w:t>
      </w:r>
      <w:r w:rsidRPr="00B66512">
        <w:rPr>
          <w:rFonts w:ascii="Times New Roman CYR" w:hAnsi="Times New Roman CYR" w:cs="Times New Roman CYR"/>
          <w:bCs/>
          <w:sz w:val="28"/>
          <w:szCs w:val="28"/>
        </w:rPr>
        <w:lastRenderedPageBreak/>
        <w:t xml:space="preserve">классов. </w:t>
      </w:r>
      <w:r w:rsidRPr="00B66512">
        <w:rPr>
          <w:rFonts w:ascii="Times New Roman" w:hAnsi="Times New Roman"/>
          <w:sz w:val="28"/>
          <w:szCs w:val="28"/>
        </w:rPr>
        <w:t xml:space="preserve">10 учеников не получили аттестат об основном общем образовании (5,3% от общего количества сдававших, 2022 – 9,6%) - </w:t>
      </w:r>
      <w:r w:rsidRPr="00B66512">
        <w:rPr>
          <w:rFonts w:ascii="Times New Roman" w:hAnsi="Times New Roman"/>
          <w:sz w:val="28"/>
          <w:szCs w:val="28"/>
        </w:rPr>
        <w:br/>
        <w:t xml:space="preserve">1 – филиал Лебедевская ООШ, 1 – МБОУ Моторская СОШ, 1 МБОУ Нижнекурятская СОШ,  6 – МБОУ Каратузская СОШ, 1 – МБОУ Качульская СОШ. </w:t>
      </w:r>
    </w:p>
    <w:p w14:paraId="03AC5758" w14:textId="77777777" w:rsidR="00706797" w:rsidRPr="00B66512" w:rsidRDefault="00706797" w:rsidP="00706797">
      <w:pPr>
        <w:widowControl w:val="0"/>
        <w:pBdr>
          <w:bottom w:val="single" w:sz="4" w:space="0" w:color="FFFFFF"/>
        </w:pBdr>
        <w:tabs>
          <w:tab w:val="left" w:pos="0"/>
        </w:tabs>
        <w:autoSpaceDE w:val="0"/>
        <w:spacing w:after="0" w:line="240" w:lineRule="auto"/>
        <w:ind w:firstLine="708"/>
        <w:jc w:val="both"/>
        <w:rPr>
          <w:rFonts w:ascii="Times New Roman" w:hAnsi="Times New Roman"/>
          <w:sz w:val="28"/>
          <w:szCs w:val="28"/>
        </w:rPr>
      </w:pPr>
      <w:r w:rsidRPr="00B66512">
        <w:rPr>
          <w:rFonts w:ascii="Times New Roman" w:hAnsi="Times New Roman"/>
          <w:sz w:val="28"/>
          <w:szCs w:val="28"/>
        </w:rPr>
        <w:t>Аттестат об основном общем образовании с отличием получило 2 человека, все они из МБОУ «Каратузская СОШ».</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2"/>
        <w:gridCol w:w="1800"/>
        <w:gridCol w:w="1800"/>
        <w:gridCol w:w="2478"/>
      </w:tblGrid>
      <w:tr w:rsidR="00706797" w:rsidRPr="00B66512" w14:paraId="4FE88DEF" w14:textId="77777777" w:rsidTr="00F848E9">
        <w:tc>
          <w:tcPr>
            <w:tcW w:w="9640" w:type="dxa"/>
            <w:gridSpan w:val="4"/>
            <w:tcBorders>
              <w:top w:val="single" w:sz="4" w:space="0" w:color="auto"/>
              <w:bottom w:val="single" w:sz="4" w:space="0" w:color="auto"/>
            </w:tcBorders>
          </w:tcPr>
          <w:p w14:paraId="059F6B6B"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Общее образование</w:t>
            </w:r>
          </w:p>
        </w:tc>
      </w:tr>
      <w:tr w:rsidR="00706797" w:rsidRPr="00B66512" w14:paraId="39C65A26" w14:textId="77777777" w:rsidTr="00F848E9">
        <w:tc>
          <w:tcPr>
            <w:tcW w:w="3562" w:type="dxa"/>
            <w:tcBorders>
              <w:top w:val="single" w:sz="4" w:space="0" w:color="auto"/>
              <w:bottom w:val="single" w:sz="4" w:space="0" w:color="auto"/>
              <w:right w:val="single" w:sz="4" w:space="0" w:color="auto"/>
            </w:tcBorders>
          </w:tcPr>
          <w:p w14:paraId="2799EE28"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Показатели (чел.)</w:t>
            </w:r>
          </w:p>
        </w:tc>
        <w:tc>
          <w:tcPr>
            <w:tcW w:w="1800" w:type="dxa"/>
            <w:tcBorders>
              <w:top w:val="single" w:sz="4" w:space="0" w:color="auto"/>
              <w:left w:val="single" w:sz="4" w:space="0" w:color="auto"/>
              <w:bottom w:val="single" w:sz="4" w:space="0" w:color="auto"/>
              <w:right w:val="single" w:sz="4" w:space="0" w:color="auto"/>
            </w:tcBorders>
          </w:tcPr>
          <w:p w14:paraId="57523053"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2025 год</w:t>
            </w:r>
          </w:p>
        </w:tc>
        <w:tc>
          <w:tcPr>
            <w:tcW w:w="1800" w:type="dxa"/>
            <w:tcBorders>
              <w:top w:val="single" w:sz="4" w:space="0" w:color="auto"/>
              <w:left w:val="single" w:sz="4" w:space="0" w:color="auto"/>
              <w:bottom w:val="single" w:sz="4" w:space="0" w:color="auto"/>
              <w:right w:val="single" w:sz="4" w:space="0" w:color="auto"/>
            </w:tcBorders>
          </w:tcPr>
          <w:p w14:paraId="0714B80C"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2026 год</w:t>
            </w:r>
          </w:p>
        </w:tc>
        <w:tc>
          <w:tcPr>
            <w:tcW w:w="2478" w:type="dxa"/>
            <w:tcBorders>
              <w:top w:val="single" w:sz="4" w:space="0" w:color="auto"/>
              <w:left w:val="single" w:sz="4" w:space="0" w:color="auto"/>
              <w:bottom w:val="single" w:sz="4" w:space="0" w:color="auto"/>
            </w:tcBorders>
          </w:tcPr>
          <w:p w14:paraId="40E55A4F"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2027 год</w:t>
            </w:r>
          </w:p>
        </w:tc>
      </w:tr>
      <w:tr w:rsidR="00706797" w:rsidRPr="00B66512" w14:paraId="6171413D" w14:textId="77777777" w:rsidTr="00F848E9">
        <w:trPr>
          <w:trHeight w:val="240"/>
        </w:trPr>
        <w:tc>
          <w:tcPr>
            <w:tcW w:w="3562" w:type="dxa"/>
            <w:tcBorders>
              <w:top w:val="single" w:sz="4" w:space="0" w:color="auto"/>
              <w:bottom w:val="single" w:sz="4" w:space="0" w:color="auto"/>
              <w:right w:val="single" w:sz="4" w:space="0" w:color="auto"/>
            </w:tcBorders>
          </w:tcPr>
          <w:p w14:paraId="097D284B"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Количество учащихся</w:t>
            </w:r>
          </w:p>
        </w:tc>
        <w:tc>
          <w:tcPr>
            <w:tcW w:w="1800" w:type="dxa"/>
            <w:tcBorders>
              <w:top w:val="single" w:sz="4" w:space="0" w:color="auto"/>
              <w:left w:val="single" w:sz="4" w:space="0" w:color="auto"/>
              <w:bottom w:val="single" w:sz="4" w:space="0" w:color="auto"/>
              <w:right w:val="single" w:sz="4" w:space="0" w:color="auto"/>
            </w:tcBorders>
          </w:tcPr>
          <w:p w14:paraId="217F7979"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2047</w:t>
            </w:r>
          </w:p>
        </w:tc>
        <w:tc>
          <w:tcPr>
            <w:tcW w:w="1800" w:type="dxa"/>
            <w:tcBorders>
              <w:top w:val="single" w:sz="4" w:space="0" w:color="auto"/>
              <w:left w:val="single" w:sz="4" w:space="0" w:color="auto"/>
              <w:bottom w:val="single" w:sz="4" w:space="0" w:color="auto"/>
              <w:right w:val="single" w:sz="4" w:space="0" w:color="auto"/>
            </w:tcBorders>
          </w:tcPr>
          <w:p w14:paraId="3263E196"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2084</w:t>
            </w:r>
          </w:p>
        </w:tc>
        <w:tc>
          <w:tcPr>
            <w:tcW w:w="2478" w:type="dxa"/>
            <w:tcBorders>
              <w:top w:val="single" w:sz="4" w:space="0" w:color="auto"/>
              <w:left w:val="single" w:sz="4" w:space="0" w:color="auto"/>
              <w:bottom w:val="single" w:sz="4" w:space="0" w:color="auto"/>
            </w:tcBorders>
          </w:tcPr>
          <w:p w14:paraId="3CD20E09"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2032</w:t>
            </w:r>
          </w:p>
        </w:tc>
      </w:tr>
      <w:tr w:rsidR="00706797" w:rsidRPr="00B66512" w14:paraId="6003C2E6" w14:textId="77777777" w:rsidTr="00F848E9">
        <w:trPr>
          <w:trHeight w:val="175"/>
        </w:trPr>
        <w:tc>
          <w:tcPr>
            <w:tcW w:w="3562" w:type="dxa"/>
            <w:tcBorders>
              <w:top w:val="single" w:sz="4" w:space="0" w:color="auto"/>
              <w:bottom w:val="single" w:sz="4" w:space="0" w:color="auto"/>
              <w:right w:val="single" w:sz="4" w:space="0" w:color="auto"/>
            </w:tcBorders>
          </w:tcPr>
          <w:p w14:paraId="50E0B66C"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Количество первоклассников</w:t>
            </w:r>
          </w:p>
        </w:tc>
        <w:tc>
          <w:tcPr>
            <w:tcW w:w="1800" w:type="dxa"/>
            <w:tcBorders>
              <w:top w:val="single" w:sz="4" w:space="0" w:color="auto"/>
              <w:left w:val="single" w:sz="4" w:space="0" w:color="auto"/>
              <w:bottom w:val="single" w:sz="4" w:space="0" w:color="auto"/>
              <w:right w:val="single" w:sz="4" w:space="0" w:color="auto"/>
            </w:tcBorders>
          </w:tcPr>
          <w:p w14:paraId="57C33156"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141</w:t>
            </w:r>
          </w:p>
        </w:tc>
        <w:tc>
          <w:tcPr>
            <w:tcW w:w="1800" w:type="dxa"/>
            <w:tcBorders>
              <w:top w:val="single" w:sz="4" w:space="0" w:color="auto"/>
              <w:left w:val="single" w:sz="4" w:space="0" w:color="auto"/>
              <w:bottom w:val="single" w:sz="4" w:space="0" w:color="auto"/>
              <w:right w:val="single" w:sz="4" w:space="0" w:color="auto"/>
            </w:tcBorders>
          </w:tcPr>
          <w:p w14:paraId="7648A3DB"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141</w:t>
            </w:r>
          </w:p>
        </w:tc>
        <w:tc>
          <w:tcPr>
            <w:tcW w:w="2478" w:type="dxa"/>
            <w:tcBorders>
              <w:top w:val="single" w:sz="4" w:space="0" w:color="auto"/>
              <w:left w:val="single" w:sz="4" w:space="0" w:color="auto"/>
              <w:bottom w:val="single" w:sz="4" w:space="0" w:color="auto"/>
            </w:tcBorders>
          </w:tcPr>
          <w:p w14:paraId="5BC2ECD0"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121</w:t>
            </w:r>
          </w:p>
        </w:tc>
      </w:tr>
      <w:tr w:rsidR="00706797" w:rsidRPr="00B66512" w14:paraId="45DCDF7D" w14:textId="77777777" w:rsidTr="00F848E9">
        <w:tc>
          <w:tcPr>
            <w:tcW w:w="3562" w:type="dxa"/>
            <w:tcBorders>
              <w:top w:val="single" w:sz="4" w:space="0" w:color="auto"/>
              <w:bottom w:val="single" w:sz="4" w:space="0" w:color="auto"/>
              <w:right w:val="single" w:sz="4" w:space="0" w:color="auto"/>
            </w:tcBorders>
          </w:tcPr>
          <w:p w14:paraId="0B58DB82"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Выпускники 11классов</w:t>
            </w:r>
          </w:p>
        </w:tc>
        <w:tc>
          <w:tcPr>
            <w:tcW w:w="1800" w:type="dxa"/>
            <w:tcBorders>
              <w:top w:val="single" w:sz="4" w:space="0" w:color="auto"/>
              <w:left w:val="single" w:sz="4" w:space="0" w:color="auto"/>
              <w:bottom w:val="single" w:sz="4" w:space="0" w:color="auto"/>
              <w:right w:val="single" w:sz="4" w:space="0" w:color="auto"/>
            </w:tcBorders>
          </w:tcPr>
          <w:p w14:paraId="6AE9B78E"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93</w:t>
            </w:r>
          </w:p>
        </w:tc>
        <w:tc>
          <w:tcPr>
            <w:tcW w:w="1800" w:type="dxa"/>
            <w:tcBorders>
              <w:top w:val="single" w:sz="4" w:space="0" w:color="auto"/>
              <w:left w:val="single" w:sz="4" w:space="0" w:color="auto"/>
              <w:bottom w:val="single" w:sz="4" w:space="0" w:color="auto"/>
              <w:right w:val="single" w:sz="4" w:space="0" w:color="auto"/>
            </w:tcBorders>
          </w:tcPr>
          <w:p w14:paraId="2333BEAB"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100</w:t>
            </w:r>
          </w:p>
        </w:tc>
        <w:tc>
          <w:tcPr>
            <w:tcW w:w="2478" w:type="dxa"/>
            <w:tcBorders>
              <w:top w:val="single" w:sz="4" w:space="0" w:color="auto"/>
              <w:left w:val="single" w:sz="4" w:space="0" w:color="auto"/>
              <w:bottom w:val="single" w:sz="4" w:space="0" w:color="auto"/>
            </w:tcBorders>
          </w:tcPr>
          <w:p w14:paraId="1326782C"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100</w:t>
            </w:r>
          </w:p>
        </w:tc>
      </w:tr>
      <w:tr w:rsidR="00706797" w:rsidRPr="00B66512" w14:paraId="54F03713" w14:textId="77777777" w:rsidTr="00F848E9">
        <w:trPr>
          <w:trHeight w:val="243"/>
        </w:trPr>
        <w:tc>
          <w:tcPr>
            <w:tcW w:w="3562" w:type="dxa"/>
            <w:tcBorders>
              <w:top w:val="single" w:sz="4" w:space="0" w:color="auto"/>
              <w:bottom w:val="single" w:sz="4" w:space="0" w:color="auto"/>
              <w:right w:val="single" w:sz="4" w:space="0" w:color="auto"/>
            </w:tcBorders>
          </w:tcPr>
          <w:p w14:paraId="45769E65"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Выпускники 9 классов</w:t>
            </w:r>
          </w:p>
        </w:tc>
        <w:tc>
          <w:tcPr>
            <w:tcW w:w="1800" w:type="dxa"/>
            <w:tcBorders>
              <w:top w:val="single" w:sz="4" w:space="0" w:color="auto"/>
              <w:left w:val="single" w:sz="4" w:space="0" w:color="auto"/>
              <w:bottom w:val="single" w:sz="4" w:space="0" w:color="auto"/>
              <w:right w:val="single" w:sz="4" w:space="0" w:color="auto"/>
            </w:tcBorders>
          </w:tcPr>
          <w:p w14:paraId="72A75650"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214</w:t>
            </w:r>
          </w:p>
        </w:tc>
        <w:tc>
          <w:tcPr>
            <w:tcW w:w="1800" w:type="dxa"/>
            <w:tcBorders>
              <w:top w:val="single" w:sz="4" w:space="0" w:color="auto"/>
              <w:left w:val="single" w:sz="4" w:space="0" w:color="auto"/>
              <w:bottom w:val="single" w:sz="4" w:space="0" w:color="auto"/>
              <w:right w:val="single" w:sz="4" w:space="0" w:color="auto"/>
            </w:tcBorders>
          </w:tcPr>
          <w:p w14:paraId="18A74229"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214</w:t>
            </w:r>
          </w:p>
        </w:tc>
        <w:tc>
          <w:tcPr>
            <w:tcW w:w="2478" w:type="dxa"/>
            <w:tcBorders>
              <w:top w:val="single" w:sz="4" w:space="0" w:color="auto"/>
              <w:left w:val="single" w:sz="4" w:space="0" w:color="auto"/>
              <w:bottom w:val="single" w:sz="4" w:space="0" w:color="auto"/>
            </w:tcBorders>
          </w:tcPr>
          <w:p w14:paraId="63A1E58D"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231</w:t>
            </w:r>
          </w:p>
        </w:tc>
      </w:tr>
      <w:tr w:rsidR="00706797" w:rsidRPr="00B66512" w14:paraId="75A8EB10" w14:textId="77777777" w:rsidTr="00F848E9">
        <w:trPr>
          <w:trHeight w:val="243"/>
        </w:trPr>
        <w:tc>
          <w:tcPr>
            <w:tcW w:w="3562" w:type="dxa"/>
            <w:tcBorders>
              <w:top w:val="single" w:sz="4" w:space="0" w:color="auto"/>
              <w:bottom w:val="single" w:sz="4" w:space="0" w:color="auto"/>
              <w:right w:val="single" w:sz="4" w:space="0" w:color="auto"/>
            </w:tcBorders>
          </w:tcPr>
          <w:p w14:paraId="1E7DC07A"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Доля выпускников не получивших аттестат (%)</w:t>
            </w:r>
          </w:p>
        </w:tc>
        <w:tc>
          <w:tcPr>
            <w:tcW w:w="1800" w:type="dxa"/>
            <w:tcBorders>
              <w:top w:val="single" w:sz="4" w:space="0" w:color="auto"/>
              <w:left w:val="single" w:sz="4" w:space="0" w:color="auto"/>
              <w:bottom w:val="single" w:sz="4" w:space="0" w:color="auto"/>
              <w:right w:val="single" w:sz="4" w:space="0" w:color="auto"/>
            </w:tcBorders>
          </w:tcPr>
          <w:p w14:paraId="594DC35D"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c>
          <w:tcPr>
            <w:tcW w:w="1800" w:type="dxa"/>
            <w:tcBorders>
              <w:top w:val="single" w:sz="4" w:space="0" w:color="auto"/>
              <w:left w:val="single" w:sz="4" w:space="0" w:color="auto"/>
              <w:bottom w:val="single" w:sz="4" w:space="0" w:color="auto"/>
              <w:right w:val="single" w:sz="4" w:space="0" w:color="auto"/>
            </w:tcBorders>
          </w:tcPr>
          <w:p w14:paraId="174CA5B9"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c>
          <w:tcPr>
            <w:tcW w:w="2478" w:type="dxa"/>
            <w:tcBorders>
              <w:top w:val="single" w:sz="4" w:space="0" w:color="auto"/>
              <w:left w:val="single" w:sz="4" w:space="0" w:color="auto"/>
              <w:bottom w:val="single" w:sz="4" w:space="0" w:color="auto"/>
            </w:tcBorders>
          </w:tcPr>
          <w:p w14:paraId="727E6300"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sz w:val="24"/>
                <w:szCs w:val="24"/>
                <w:lang w:eastAsia="en-US"/>
              </w:rPr>
            </w:pPr>
            <w:r w:rsidRPr="00B66512">
              <w:rPr>
                <w:rFonts w:ascii="Times New Roman CYR" w:hAnsi="Times New Roman CYR" w:cs="Times New Roman CYR"/>
                <w:sz w:val="24"/>
                <w:szCs w:val="24"/>
                <w:lang w:eastAsia="en-US"/>
              </w:rPr>
              <w:t>0</w:t>
            </w:r>
          </w:p>
        </w:tc>
      </w:tr>
    </w:tbl>
    <w:p w14:paraId="6C4EAC96"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В прогнозируемом периоде ожидается снижение количества первоклассников, в связи со снижением рождаемости, количество выпускников 9 и 11 классов остается на прежнем уровне. Доля выпускников не получивших аттестат в прогнозируемом периоде 2025-2027 год снизится до 0%.</w:t>
      </w:r>
    </w:p>
    <w:p w14:paraId="213FE65D" w14:textId="77777777" w:rsidR="00706797" w:rsidRPr="00B66512" w:rsidRDefault="00706797" w:rsidP="00706797">
      <w:pPr>
        <w:widowControl w:val="0"/>
        <w:pBdr>
          <w:bottom w:val="single" w:sz="4" w:space="0" w:color="FFFFFF"/>
        </w:pBdr>
        <w:tabs>
          <w:tab w:val="left" w:pos="0"/>
        </w:tabs>
        <w:autoSpaceDE w:val="0"/>
        <w:spacing w:after="0" w:line="240" w:lineRule="auto"/>
        <w:ind w:firstLine="708"/>
        <w:jc w:val="both"/>
        <w:rPr>
          <w:rFonts w:ascii="Times New Roman" w:hAnsi="Times New Roman"/>
          <w:sz w:val="28"/>
          <w:szCs w:val="28"/>
        </w:rPr>
      </w:pPr>
      <w:r w:rsidRPr="00B66512">
        <w:rPr>
          <w:rFonts w:ascii="Times New Roman CYR" w:hAnsi="Times New Roman CYR" w:cs="Times New Roman CYR"/>
          <w:bCs/>
          <w:i/>
          <w:sz w:val="28"/>
          <w:szCs w:val="28"/>
        </w:rPr>
        <w:t>В сфере  дополнительного  образования</w:t>
      </w:r>
      <w:r w:rsidRPr="00B66512">
        <w:rPr>
          <w:rFonts w:ascii="Times New Roman CYR" w:hAnsi="Times New Roman CYR" w:cs="Times New Roman CYR"/>
          <w:bCs/>
          <w:sz w:val="28"/>
          <w:szCs w:val="28"/>
        </w:rPr>
        <w:t xml:space="preserve"> образовательные  услуги оказывают населению 3 подведомственных Управлению образования учреждения, 861 ребенок охвачен дополнительным образованием. На базе  школ действуют 13 физкультурно-спортивных клуба. Физкультурно-спортивной работой охвачено более 85% школьников. Численность детей в возрасте 5-18 лет, получающих услуги по дополнительному образованию в организациях всех форм собственности составила 2064 человека (76,96%).</w:t>
      </w:r>
    </w:p>
    <w:p w14:paraId="2B75389B" w14:textId="77777777" w:rsidR="00706797" w:rsidRPr="00B66512" w:rsidRDefault="00706797" w:rsidP="00706797">
      <w:pPr>
        <w:widowControl w:val="0"/>
        <w:pBdr>
          <w:bottom w:val="single" w:sz="4" w:space="0" w:color="FFFFFF"/>
        </w:pBdr>
        <w:tabs>
          <w:tab w:val="left" w:pos="0"/>
        </w:tabs>
        <w:autoSpaceDE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Численность детей школьного возраста (от 7 до 17 лет), охваченных организованными формами отдыха, оздоровления и занятости за период летней оздоровительной кампании в 2023 году составила 921 человек.</w:t>
      </w:r>
      <w:r w:rsidRPr="00B66512">
        <w:rPr>
          <w:rFonts w:ascii="Times New Roman" w:hAnsi="Times New Roman"/>
          <w:sz w:val="24"/>
          <w:szCs w:val="24"/>
        </w:rPr>
        <w:t xml:space="preserve"> </w:t>
      </w:r>
      <w:r w:rsidRPr="00B66512">
        <w:rPr>
          <w:rFonts w:ascii="Times New Roman CYR" w:hAnsi="Times New Roman CYR" w:cs="Times New Roman CYR"/>
          <w:bCs/>
          <w:sz w:val="28"/>
          <w:szCs w:val="28"/>
        </w:rPr>
        <w:t>Доля детей школьного возраста (от 7 до 17 лет), охваченных организованными формами отдыха, оздоровления и занятости за период летней оздоровительной кампании составила 44,75%.</w:t>
      </w:r>
    </w:p>
    <w:p w14:paraId="4B095C56"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изменена методика расчета охвата детей в возрасте 5-18 лет, получающих услуги по дополнительному образованию в организациях всех форм собственности. В прогнозном периоде с сентября 2024 составит 2066 человек.</w:t>
      </w:r>
    </w:p>
    <w:p w14:paraId="41283AC4"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Доля детей в возрасте от 5 до 18 лет, получающих услуги по дополнительному образованию в организациях всех форм собственности, в </w:t>
      </w:r>
      <w:r w:rsidRPr="00B66512">
        <w:rPr>
          <w:rFonts w:ascii="Times New Roman CYR" w:hAnsi="Times New Roman CYR" w:cs="Times New Roman CYR"/>
          <w:sz w:val="28"/>
          <w:szCs w:val="28"/>
        </w:rPr>
        <w:lastRenderedPageBreak/>
        <w:t>общей численности детей данной возрастной группы в 2024 году ожидается (в соответствие с плановыми показателями) на уровне 77,04 %.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2"/>
        <w:gridCol w:w="1800"/>
        <w:gridCol w:w="1800"/>
        <w:gridCol w:w="2478"/>
      </w:tblGrid>
      <w:tr w:rsidR="00706797" w:rsidRPr="00B66512" w14:paraId="5D45ED8F" w14:textId="77777777" w:rsidTr="00F848E9">
        <w:trPr>
          <w:trHeight w:val="240"/>
        </w:trPr>
        <w:tc>
          <w:tcPr>
            <w:tcW w:w="9640" w:type="dxa"/>
            <w:gridSpan w:val="4"/>
            <w:tcBorders>
              <w:top w:val="single" w:sz="4" w:space="0" w:color="auto"/>
              <w:bottom w:val="single" w:sz="4" w:space="0" w:color="auto"/>
            </w:tcBorders>
          </w:tcPr>
          <w:p w14:paraId="3F633DC8"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Летний отдых</w:t>
            </w:r>
          </w:p>
        </w:tc>
      </w:tr>
      <w:tr w:rsidR="00706797" w:rsidRPr="00B66512" w14:paraId="30DC70FB" w14:textId="77777777" w:rsidTr="00F848E9">
        <w:tc>
          <w:tcPr>
            <w:tcW w:w="3562" w:type="dxa"/>
            <w:tcBorders>
              <w:top w:val="single" w:sz="4" w:space="0" w:color="auto"/>
              <w:bottom w:val="single" w:sz="4" w:space="0" w:color="auto"/>
              <w:right w:val="single" w:sz="4" w:space="0" w:color="auto"/>
            </w:tcBorders>
          </w:tcPr>
          <w:p w14:paraId="5EB760DD"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Показатели (чел.)</w:t>
            </w:r>
          </w:p>
        </w:tc>
        <w:tc>
          <w:tcPr>
            <w:tcW w:w="1800" w:type="dxa"/>
            <w:tcBorders>
              <w:top w:val="single" w:sz="4" w:space="0" w:color="auto"/>
              <w:left w:val="single" w:sz="4" w:space="0" w:color="auto"/>
              <w:bottom w:val="single" w:sz="4" w:space="0" w:color="auto"/>
              <w:right w:val="single" w:sz="4" w:space="0" w:color="auto"/>
            </w:tcBorders>
          </w:tcPr>
          <w:p w14:paraId="3C0BD6ED"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2023 год</w:t>
            </w:r>
          </w:p>
        </w:tc>
        <w:tc>
          <w:tcPr>
            <w:tcW w:w="1800" w:type="dxa"/>
            <w:tcBorders>
              <w:top w:val="single" w:sz="4" w:space="0" w:color="auto"/>
              <w:left w:val="single" w:sz="4" w:space="0" w:color="auto"/>
              <w:bottom w:val="single" w:sz="4" w:space="0" w:color="auto"/>
              <w:right w:val="single" w:sz="4" w:space="0" w:color="auto"/>
            </w:tcBorders>
          </w:tcPr>
          <w:p w14:paraId="2D41175E"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2024 год</w:t>
            </w:r>
          </w:p>
        </w:tc>
        <w:tc>
          <w:tcPr>
            <w:tcW w:w="2478" w:type="dxa"/>
            <w:tcBorders>
              <w:top w:val="single" w:sz="4" w:space="0" w:color="auto"/>
              <w:left w:val="single" w:sz="4" w:space="0" w:color="auto"/>
              <w:bottom w:val="single" w:sz="4" w:space="0" w:color="auto"/>
            </w:tcBorders>
          </w:tcPr>
          <w:p w14:paraId="352A3FC0"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2025 год</w:t>
            </w:r>
          </w:p>
        </w:tc>
      </w:tr>
      <w:tr w:rsidR="00706797" w:rsidRPr="00B66512" w14:paraId="2D2A53C9" w14:textId="77777777" w:rsidTr="00F848E9">
        <w:tc>
          <w:tcPr>
            <w:tcW w:w="3562" w:type="dxa"/>
            <w:tcBorders>
              <w:top w:val="single" w:sz="4" w:space="0" w:color="auto"/>
              <w:bottom w:val="single" w:sz="4" w:space="0" w:color="auto"/>
              <w:right w:val="single" w:sz="4" w:space="0" w:color="auto"/>
            </w:tcBorders>
          </w:tcPr>
          <w:p w14:paraId="13E72AEC"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Количество детей, отдохнувших в лагерях с дневным пребыванием</w:t>
            </w:r>
          </w:p>
        </w:tc>
        <w:tc>
          <w:tcPr>
            <w:tcW w:w="1800" w:type="dxa"/>
            <w:tcBorders>
              <w:top w:val="single" w:sz="4" w:space="0" w:color="auto"/>
              <w:left w:val="single" w:sz="4" w:space="0" w:color="auto"/>
              <w:bottom w:val="single" w:sz="4" w:space="0" w:color="auto"/>
              <w:right w:val="single" w:sz="4" w:space="0" w:color="auto"/>
            </w:tcBorders>
          </w:tcPr>
          <w:p w14:paraId="26665C21"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646</w:t>
            </w:r>
          </w:p>
        </w:tc>
        <w:tc>
          <w:tcPr>
            <w:tcW w:w="1800" w:type="dxa"/>
            <w:tcBorders>
              <w:top w:val="single" w:sz="4" w:space="0" w:color="auto"/>
              <w:left w:val="single" w:sz="4" w:space="0" w:color="auto"/>
              <w:bottom w:val="single" w:sz="4" w:space="0" w:color="auto"/>
              <w:right w:val="single" w:sz="4" w:space="0" w:color="auto"/>
            </w:tcBorders>
          </w:tcPr>
          <w:p w14:paraId="3FE920E6"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646</w:t>
            </w:r>
          </w:p>
        </w:tc>
        <w:tc>
          <w:tcPr>
            <w:tcW w:w="2478" w:type="dxa"/>
            <w:tcBorders>
              <w:top w:val="single" w:sz="4" w:space="0" w:color="auto"/>
              <w:left w:val="single" w:sz="4" w:space="0" w:color="auto"/>
              <w:bottom w:val="single" w:sz="4" w:space="0" w:color="auto"/>
            </w:tcBorders>
          </w:tcPr>
          <w:p w14:paraId="6D9FF942"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646</w:t>
            </w:r>
          </w:p>
        </w:tc>
      </w:tr>
      <w:tr w:rsidR="00706797" w:rsidRPr="00B66512" w14:paraId="3C3332A4" w14:textId="77777777" w:rsidTr="00F848E9">
        <w:trPr>
          <w:trHeight w:val="288"/>
        </w:trPr>
        <w:tc>
          <w:tcPr>
            <w:tcW w:w="3562" w:type="dxa"/>
            <w:tcBorders>
              <w:top w:val="single" w:sz="4" w:space="0" w:color="auto"/>
              <w:bottom w:val="single" w:sz="4" w:space="0" w:color="auto"/>
              <w:right w:val="single" w:sz="4" w:space="0" w:color="auto"/>
            </w:tcBorders>
          </w:tcPr>
          <w:p w14:paraId="4BDD14C5"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Количество детей, отдохнувших в палаточном лагере</w:t>
            </w:r>
          </w:p>
        </w:tc>
        <w:tc>
          <w:tcPr>
            <w:tcW w:w="1800" w:type="dxa"/>
            <w:tcBorders>
              <w:top w:val="single" w:sz="4" w:space="0" w:color="auto"/>
              <w:left w:val="single" w:sz="4" w:space="0" w:color="auto"/>
              <w:bottom w:val="single" w:sz="4" w:space="0" w:color="auto"/>
              <w:right w:val="single" w:sz="4" w:space="0" w:color="auto"/>
            </w:tcBorders>
          </w:tcPr>
          <w:p w14:paraId="7B729FBB"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120</w:t>
            </w:r>
          </w:p>
        </w:tc>
        <w:tc>
          <w:tcPr>
            <w:tcW w:w="1800" w:type="dxa"/>
            <w:tcBorders>
              <w:top w:val="single" w:sz="4" w:space="0" w:color="auto"/>
              <w:left w:val="single" w:sz="4" w:space="0" w:color="auto"/>
              <w:bottom w:val="single" w:sz="4" w:space="0" w:color="auto"/>
              <w:right w:val="single" w:sz="4" w:space="0" w:color="auto"/>
            </w:tcBorders>
          </w:tcPr>
          <w:p w14:paraId="7766C4C9"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120</w:t>
            </w:r>
          </w:p>
        </w:tc>
        <w:tc>
          <w:tcPr>
            <w:tcW w:w="2478" w:type="dxa"/>
            <w:tcBorders>
              <w:top w:val="single" w:sz="4" w:space="0" w:color="auto"/>
              <w:left w:val="single" w:sz="4" w:space="0" w:color="auto"/>
              <w:bottom w:val="single" w:sz="4" w:space="0" w:color="auto"/>
            </w:tcBorders>
          </w:tcPr>
          <w:p w14:paraId="3C985CF7"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120</w:t>
            </w:r>
          </w:p>
        </w:tc>
      </w:tr>
      <w:tr w:rsidR="00706797" w:rsidRPr="00B66512" w14:paraId="4BDE4FCC" w14:textId="77777777" w:rsidTr="00F848E9">
        <w:tc>
          <w:tcPr>
            <w:tcW w:w="3562" w:type="dxa"/>
            <w:tcBorders>
              <w:top w:val="single" w:sz="4" w:space="0" w:color="auto"/>
              <w:bottom w:val="single" w:sz="4" w:space="0" w:color="auto"/>
              <w:right w:val="single" w:sz="4" w:space="0" w:color="auto"/>
            </w:tcBorders>
          </w:tcPr>
          <w:p w14:paraId="132A9F4A"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Количество детей, отдохнувших в загородных лагерях</w:t>
            </w:r>
          </w:p>
        </w:tc>
        <w:tc>
          <w:tcPr>
            <w:tcW w:w="1800" w:type="dxa"/>
            <w:tcBorders>
              <w:top w:val="single" w:sz="4" w:space="0" w:color="auto"/>
              <w:left w:val="single" w:sz="4" w:space="0" w:color="auto"/>
              <w:bottom w:val="single" w:sz="4" w:space="0" w:color="auto"/>
              <w:right w:val="single" w:sz="4" w:space="0" w:color="auto"/>
            </w:tcBorders>
          </w:tcPr>
          <w:p w14:paraId="652D87F6"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55</w:t>
            </w:r>
          </w:p>
        </w:tc>
        <w:tc>
          <w:tcPr>
            <w:tcW w:w="1800" w:type="dxa"/>
            <w:tcBorders>
              <w:top w:val="single" w:sz="4" w:space="0" w:color="auto"/>
              <w:left w:val="single" w:sz="4" w:space="0" w:color="auto"/>
              <w:bottom w:val="single" w:sz="4" w:space="0" w:color="auto"/>
              <w:right w:val="single" w:sz="4" w:space="0" w:color="auto"/>
            </w:tcBorders>
          </w:tcPr>
          <w:p w14:paraId="1EC5DD68"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55</w:t>
            </w:r>
          </w:p>
        </w:tc>
        <w:tc>
          <w:tcPr>
            <w:tcW w:w="2478" w:type="dxa"/>
            <w:tcBorders>
              <w:top w:val="single" w:sz="4" w:space="0" w:color="auto"/>
              <w:left w:val="single" w:sz="4" w:space="0" w:color="auto"/>
              <w:bottom w:val="single" w:sz="4" w:space="0" w:color="auto"/>
            </w:tcBorders>
          </w:tcPr>
          <w:p w14:paraId="27CBADFB"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55</w:t>
            </w:r>
          </w:p>
        </w:tc>
      </w:tr>
      <w:tr w:rsidR="00706797" w:rsidRPr="00B66512" w14:paraId="6DD1A9D6" w14:textId="77777777" w:rsidTr="00F848E9">
        <w:tc>
          <w:tcPr>
            <w:tcW w:w="3562" w:type="dxa"/>
            <w:tcBorders>
              <w:top w:val="single" w:sz="4" w:space="0" w:color="auto"/>
              <w:bottom w:val="single" w:sz="4" w:space="0" w:color="auto"/>
              <w:right w:val="single" w:sz="4" w:space="0" w:color="auto"/>
            </w:tcBorders>
          </w:tcPr>
          <w:p w14:paraId="2AA8283E"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Количество детей, вовлеченных в трудовую деятельность</w:t>
            </w:r>
          </w:p>
        </w:tc>
        <w:tc>
          <w:tcPr>
            <w:tcW w:w="1800" w:type="dxa"/>
            <w:tcBorders>
              <w:top w:val="single" w:sz="4" w:space="0" w:color="auto"/>
              <w:left w:val="single" w:sz="4" w:space="0" w:color="auto"/>
              <w:bottom w:val="single" w:sz="4" w:space="0" w:color="auto"/>
              <w:right w:val="single" w:sz="4" w:space="0" w:color="auto"/>
            </w:tcBorders>
          </w:tcPr>
          <w:p w14:paraId="101C91EB"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100</w:t>
            </w:r>
          </w:p>
        </w:tc>
        <w:tc>
          <w:tcPr>
            <w:tcW w:w="1800" w:type="dxa"/>
            <w:tcBorders>
              <w:top w:val="single" w:sz="4" w:space="0" w:color="auto"/>
              <w:left w:val="single" w:sz="4" w:space="0" w:color="auto"/>
              <w:bottom w:val="single" w:sz="4" w:space="0" w:color="auto"/>
              <w:right w:val="single" w:sz="4" w:space="0" w:color="auto"/>
            </w:tcBorders>
          </w:tcPr>
          <w:p w14:paraId="33168B1C"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100</w:t>
            </w:r>
          </w:p>
        </w:tc>
        <w:tc>
          <w:tcPr>
            <w:tcW w:w="2478" w:type="dxa"/>
            <w:tcBorders>
              <w:top w:val="single" w:sz="4" w:space="0" w:color="auto"/>
              <w:left w:val="single" w:sz="4" w:space="0" w:color="auto"/>
              <w:bottom w:val="single" w:sz="4" w:space="0" w:color="auto"/>
            </w:tcBorders>
          </w:tcPr>
          <w:p w14:paraId="02E3877E"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100</w:t>
            </w:r>
          </w:p>
        </w:tc>
      </w:tr>
    </w:tbl>
    <w:p w14:paraId="1F6D785F" w14:textId="77777777" w:rsidR="00706797" w:rsidRPr="00B66512" w:rsidRDefault="00706797" w:rsidP="00706797">
      <w:pPr>
        <w:widowControl w:val="0"/>
        <w:pBdr>
          <w:bottom w:val="single" w:sz="4" w:space="0" w:color="FFFFFF"/>
        </w:pBdr>
        <w:tabs>
          <w:tab w:val="left" w:pos="0"/>
        </w:tabs>
        <w:autoSpaceDE w:val="0"/>
        <w:spacing w:after="0" w:line="240" w:lineRule="auto"/>
        <w:jc w:val="both"/>
        <w:rPr>
          <w:rFonts w:ascii="Times New Roman CYR" w:hAnsi="Times New Roman CYR" w:cs="Times New Roman CYR"/>
          <w:bCs/>
          <w:sz w:val="28"/>
          <w:szCs w:val="28"/>
        </w:rPr>
      </w:pPr>
    </w:p>
    <w:p w14:paraId="45AFA835" w14:textId="77777777" w:rsidR="00706797" w:rsidRPr="00B66512" w:rsidRDefault="00706797" w:rsidP="00706797">
      <w:pPr>
        <w:widowControl w:val="0"/>
        <w:pBdr>
          <w:bottom w:val="single" w:sz="4" w:space="0" w:color="FFFFFF"/>
        </w:pBdr>
        <w:tabs>
          <w:tab w:val="left" w:pos="0"/>
        </w:tabs>
        <w:autoSpaceDE w:val="0"/>
        <w:spacing w:after="0" w:line="240" w:lineRule="auto"/>
        <w:ind w:firstLine="709"/>
        <w:jc w:val="both"/>
        <w:rPr>
          <w:rFonts w:ascii="Times New Roman" w:hAnsi="Times New Roman"/>
          <w:sz w:val="28"/>
          <w:szCs w:val="28"/>
        </w:rPr>
      </w:pPr>
      <w:r w:rsidRPr="00B66512">
        <w:rPr>
          <w:rFonts w:ascii="Times New Roman CYR" w:hAnsi="Times New Roman CYR" w:cs="Times New Roman CYR"/>
          <w:bCs/>
          <w:sz w:val="28"/>
          <w:szCs w:val="28"/>
        </w:rPr>
        <w:t>В отделе социальной поддержки детства по состоянию на 31.12.2023 года на учете состояло 116 несовершеннолетних детей, из них:</w:t>
      </w:r>
    </w:p>
    <w:p w14:paraId="7ED4CEF8"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48 детей, находящихся под безвозмездной опекой (попечительством), в том числе предварительной;</w:t>
      </w:r>
    </w:p>
    <w:p w14:paraId="4514F881"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55 детей – в приемных семьях;</w:t>
      </w:r>
    </w:p>
    <w:p w14:paraId="508E42CE"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xml:space="preserve">- усыновленные - 13 детей. </w:t>
      </w:r>
    </w:p>
    <w:p w14:paraId="7CA5BFC9"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xml:space="preserve">  В 2023 году 8 родителей лишены родительских прав в отношении</w:t>
      </w:r>
      <w:r w:rsidRPr="00B66512">
        <w:rPr>
          <w:rFonts w:ascii="Times New Roman CYR" w:hAnsi="Times New Roman CYR" w:cs="Times New Roman CYR"/>
          <w:bCs/>
          <w:sz w:val="28"/>
          <w:szCs w:val="28"/>
        </w:rPr>
        <w:br/>
        <w:t xml:space="preserve"> 13 детей, 6 родителя ограничены в родительских правах в отношении 7 детей. </w:t>
      </w:r>
    </w:p>
    <w:p w14:paraId="7DBB71E2"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sz w:val="28"/>
          <w:szCs w:val="28"/>
          <w:lang w:eastAsia="en-US"/>
        </w:rPr>
      </w:pPr>
      <w:r w:rsidRPr="00B66512">
        <w:rPr>
          <w:rFonts w:ascii="Times New Roman CYR" w:hAnsi="Times New Roman CYR" w:cs="Times New Roman CYR"/>
          <w:sz w:val="28"/>
          <w:szCs w:val="28"/>
          <w:lang w:eastAsia="en-US"/>
        </w:rPr>
        <w:t xml:space="preserve">За счет проведения профилактической работы всех органов системы профилактики в прогнозном периоде 2025-2027 годов предполагается сокращение количества выявленных детей. Количество опекаемых и приемных детей уменьшится за счет достижения ими совершеннолетия, смены местожительства. </w:t>
      </w:r>
    </w:p>
    <w:p w14:paraId="1B0CF2A6"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В прогнозном периоде 2025-2027 года  в сети образовательных учреждений изменения не ожидаются. Планируется функционирование 9 общеобразовательных учреждений  среднего общего образования, при которых 2 филиала основного общего образования, 4 учреждения, реализующих программы основного общего образования, 10 дошкольных образовательных учреждений, 3 учреждения дополнительного образования.</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418"/>
        <w:gridCol w:w="1481"/>
        <w:gridCol w:w="1921"/>
      </w:tblGrid>
      <w:tr w:rsidR="00706797" w:rsidRPr="00B66512" w14:paraId="5FE9886A" w14:textId="77777777" w:rsidTr="00F848E9">
        <w:tc>
          <w:tcPr>
            <w:tcW w:w="4820" w:type="dxa"/>
            <w:tcBorders>
              <w:top w:val="single" w:sz="4" w:space="0" w:color="auto"/>
              <w:bottom w:val="single" w:sz="4" w:space="0" w:color="auto"/>
              <w:right w:val="single" w:sz="4" w:space="0" w:color="auto"/>
            </w:tcBorders>
          </w:tcPr>
          <w:p w14:paraId="5AC59468" w14:textId="77777777" w:rsidR="00706797" w:rsidRPr="00B66512" w:rsidRDefault="00706797" w:rsidP="00706797">
            <w:pPr>
              <w:autoSpaceDE w:val="0"/>
              <w:autoSpaceDN w:val="0"/>
              <w:adjustRightInd w:val="0"/>
              <w:spacing w:after="0" w:line="240" w:lineRule="auto"/>
              <w:jc w:val="center"/>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Показатели (чел.)</w:t>
            </w:r>
          </w:p>
        </w:tc>
        <w:tc>
          <w:tcPr>
            <w:tcW w:w="1418" w:type="dxa"/>
            <w:tcBorders>
              <w:top w:val="single" w:sz="4" w:space="0" w:color="auto"/>
              <w:left w:val="single" w:sz="4" w:space="0" w:color="auto"/>
              <w:bottom w:val="single" w:sz="4" w:space="0" w:color="auto"/>
              <w:right w:val="single" w:sz="4" w:space="0" w:color="auto"/>
            </w:tcBorders>
          </w:tcPr>
          <w:p w14:paraId="68DB4C45" w14:textId="77777777" w:rsidR="00706797" w:rsidRPr="00B66512" w:rsidRDefault="00706797" w:rsidP="00706797">
            <w:pPr>
              <w:autoSpaceDE w:val="0"/>
              <w:autoSpaceDN w:val="0"/>
              <w:adjustRightInd w:val="0"/>
              <w:spacing w:after="0" w:line="240" w:lineRule="auto"/>
              <w:jc w:val="center"/>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2025 год</w:t>
            </w:r>
          </w:p>
        </w:tc>
        <w:tc>
          <w:tcPr>
            <w:tcW w:w="1481" w:type="dxa"/>
            <w:tcBorders>
              <w:top w:val="single" w:sz="4" w:space="0" w:color="auto"/>
              <w:left w:val="single" w:sz="4" w:space="0" w:color="auto"/>
              <w:bottom w:val="single" w:sz="4" w:space="0" w:color="auto"/>
              <w:right w:val="single" w:sz="4" w:space="0" w:color="auto"/>
            </w:tcBorders>
          </w:tcPr>
          <w:p w14:paraId="4009E1E3" w14:textId="77777777" w:rsidR="00706797" w:rsidRPr="00B66512" w:rsidRDefault="00706797" w:rsidP="00706797">
            <w:pPr>
              <w:autoSpaceDE w:val="0"/>
              <w:autoSpaceDN w:val="0"/>
              <w:adjustRightInd w:val="0"/>
              <w:spacing w:after="0" w:line="240" w:lineRule="auto"/>
              <w:jc w:val="center"/>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2026 год</w:t>
            </w:r>
          </w:p>
        </w:tc>
        <w:tc>
          <w:tcPr>
            <w:tcW w:w="1921" w:type="dxa"/>
            <w:tcBorders>
              <w:top w:val="single" w:sz="4" w:space="0" w:color="auto"/>
              <w:left w:val="single" w:sz="4" w:space="0" w:color="auto"/>
              <w:bottom w:val="single" w:sz="4" w:space="0" w:color="auto"/>
            </w:tcBorders>
          </w:tcPr>
          <w:p w14:paraId="562B8DBE" w14:textId="77777777" w:rsidR="00706797" w:rsidRPr="00B66512" w:rsidRDefault="00706797" w:rsidP="00706797">
            <w:pPr>
              <w:autoSpaceDE w:val="0"/>
              <w:autoSpaceDN w:val="0"/>
              <w:adjustRightInd w:val="0"/>
              <w:spacing w:after="0" w:line="240" w:lineRule="auto"/>
              <w:jc w:val="center"/>
              <w:rPr>
                <w:rFonts w:ascii="Times New Roman CYR" w:hAnsi="Times New Roman CYR" w:cs="Times New Roman CYR"/>
                <w:color w:val="000000"/>
                <w:sz w:val="24"/>
                <w:szCs w:val="24"/>
                <w:lang w:eastAsia="en-US"/>
              </w:rPr>
            </w:pPr>
            <w:r w:rsidRPr="00B66512">
              <w:rPr>
                <w:rFonts w:ascii="Times New Roman CYR" w:hAnsi="Times New Roman CYR" w:cs="Times New Roman CYR"/>
                <w:color w:val="000000"/>
                <w:sz w:val="24"/>
                <w:szCs w:val="24"/>
                <w:lang w:eastAsia="en-US"/>
              </w:rPr>
              <w:t>2027 год</w:t>
            </w:r>
          </w:p>
        </w:tc>
      </w:tr>
      <w:tr w:rsidR="00706797" w:rsidRPr="00B66512" w14:paraId="6AB17F6C" w14:textId="77777777" w:rsidTr="00F848E9">
        <w:tc>
          <w:tcPr>
            <w:tcW w:w="9640" w:type="dxa"/>
            <w:gridSpan w:val="4"/>
            <w:tcBorders>
              <w:top w:val="single" w:sz="4" w:space="0" w:color="auto"/>
              <w:bottom w:val="single" w:sz="4" w:space="0" w:color="auto"/>
            </w:tcBorders>
          </w:tcPr>
          <w:p w14:paraId="1D2334E9" w14:textId="77777777" w:rsidR="00706797" w:rsidRPr="00B66512" w:rsidRDefault="00706797" w:rsidP="00706797">
            <w:pPr>
              <w:autoSpaceDE w:val="0"/>
              <w:autoSpaceDN w:val="0"/>
              <w:adjustRightInd w:val="0"/>
              <w:spacing w:after="0" w:line="240" w:lineRule="auto"/>
              <w:jc w:val="center"/>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Сеть образовательных учреждений</w:t>
            </w:r>
          </w:p>
        </w:tc>
      </w:tr>
      <w:tr w:rsidR="00706797" w:rsidRPr="00B66512" w14:paraId="20F0C713" w14:textId="77777777" w:rsidTr="00F848E9">
        <w:tc>
          <w:tcPr>
            <w:tcW w:w="4820" w:type="dxa"/>
            <w:tcBorders>
              <w:top w:val="single" w:sz="4" w:space="0" w:color="auto"/>
              <w:bottom w:val="single" w:sz="4" w:space="0" w:color="auto"/>
              <w:right w:val="single" w:sz="4" w:space="0" w:color="auto"/>
            </w:tcBorders>
          </w:tcPr>
          <w:p w14:paraId="36723597"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hyperlink r:id="rId6" w:history="1">
              <w:r w:rsidRPr="00B66512">
                <w:rPr>
                  <w:rFonts w:ascii="Times New Roman CYR" w:hAnsi="Times New Roman CYR" w:cs="Times New Roman CYR"/>
                  <w:color w:val="000000"/>
                  <w:sz w:val="24"/>
                  <w:szCs w:val="24"/>
                  <w:u w:val="single"/>
                  <w:lang w:eastAsia="en-US"/>
                </w:rPr>
                <w:t>Количество образовательных организаций всех форм собственности на начало учебного года</w:t>
              </w:r>
            </w:hyperlink>
          </w:p>
        </w:tc>
        <w:tc>
          <w:tcPr>
            <w:tcW w:w="1418" w:type="dxa"/>
            <w:tcBorders>
              <w:top w:val="single" w:sz="4" w:space="0" w:color="auto"/>
              <w:left w:val="single" w:sz="4" w:space="0" w:color="auto"/>
              <w:bottom w:val="single" w:sz="4" w:space="0" w:color="auto"/>
              <w:right w:val="single" w:sz="4" w:space="0" w:color="auto"/>
            </w:tcBorders>
          </w:tcPr>
          <w:p w14:paraId="567EB626"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26</w:t>
            </w:r>
          </w:p>
        </w:tc>
        <w:tc>
          <w:tcPr>
            <w:tcW w:w="1481" w:type="dxa"/>
            <w:tcBorders>
              <w:top w:val="single" w:sz="4" w:space="0" w:color="auto"/>
              <w:left w:val="single" w:sz="4" w:space="0" w:color="auto"/>
              <w:bottom w:val="single" w:sz="4" w:space="0" w:color="auto"/>
              <w:right w:val="single" w:sz="4" w:space="0" w:color="auto"/>
            </w:tcBorders>
          </w:tcPr>
          <w:p w14:paraId="561EB6E8"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26</w:t>
            </w:r>
          </w:p>
        </w:tc>
        <w:tc>
          <w:tcPr>
            <w:tcW w:w="1921" w:type="dxa"/>
            <w:tcBorders>
              <w:top w:val="single" w:sz="4" w:space="0" w:color="auto"/>
              <w:left w:val="single" w:sz="4" w:space="0" w:color="auto"/>
              <w:bottom w:val="single" w:sz="4" w:space="0" w:color="auto"/>
            </w:tcBorders>
          </w:tcPr>
          <w:p w14:paraId="735BB9B8"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26</w:t>
            </w:r>
          </w:p>
        </w:tc>
      </w:tr>
      <w:tr w:rsidR="00706797" w:rsidRPr="00B66512" w14:paraId="13664112" w14:textId="77777777" w:rsidTr="00F848E9">
        <w:tc>
          <w:tcPr>
            <w:tcW w:w="4820" w:type="dxa"/>
            <w:tcBorders>
              <w:top w:val="single" w:sz="4" w:space="0" w:color="auto"/>
              <w:bottom w:val="single" w:sz="4" w:space="0" w:color="auto"/>
              <w:right w:val="single" w:sz="4" w:space="0" w:color="auto"/>
            </w:tcBorders>
          </w:tcPr>
          <w:p w14:paraId="5011E7DD"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Cs/>
                <w:color w:val="000000"/>
                <w:sz w:val="24"/>
                <w:szCs w:val="24"/>
                <w:lang w:eastAsia="en-US"/>
              </w:rPr>
            </w:pPr>
            <w:r w:rsidRPr="00B66512">
              <w:rPr>
                <w:rFonts w:ascii="Times New Roman CYR" w:hAnsi="Times New Roman CYR" w:cs="Times New Roman CYR"/>
                <w:bCs/>
                <w:color w:val="000000"/>
                <w:sz w:val="24"/>
                <w:szCs w:val="24"/>
                <w:lang w:eastAsia="en-US"/>
              </w:rPr>
              <w:t>Количество дошкольных образовательных учреждений</w:t>
            </w:r>
          </w:p>
        </w:tc>
        <w:tc>
          <w:tcPr>
            <w:tcW w:w="1418" w:type="dxa"/>
            <w:tcBorders>
              <w:top w:val="single" w:sz="4" w:space="0" w:color="auto"/>
              <w:left w:val="single" w:sz="4" w:space="0" w:color="auto"/>
              <w:bottom w:val="single" w:sz="4" w:space="0" w:color="auto"/>
              <w:right w:val="single" w:sz="4" w:space="0" w:color="auto"/>
            </w:tcBorders>
          </w:tcPr>
          <w:p w14:paraId="59F8D975"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10</w:t>
            </w:r>
          </w:p>
        </w:tc>
        <w:tc>
          <w:tcPr>
            <w:tcW w:w="1481" w:type="dxa"/>
            <w:tcBorders>
              <w:top w:val="single" w:sz="4" w:space="0" w:color="auto"/>
              <w:left w:val="single" w:sz="4" w:space="0" w:color="auto"/>
              <w:bottom w:val="single" w:sz="4" w:space="0" w:color="auto"/>
              <w:right w:val="single" w:sz="4" w:space="0" w:color="auto"/>
            </w:tcBorders>
          </w:tcPr>
          <w:p w14:paraId="3ABB44FB"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10</w:t>
            </w:r>
          </w:p>
        </w:tc>
        <w:tc>
          <w:tcPr>
            <w:tcW w:w="1921" w:type="dxa"/>
            <w:tcBorders>
              <w:top w:val="single" w:sz="4" w:space="0" w:color="auto"/>
              <w:left w:val="single" w:sz="4" w:space="0" w:color="auto"/>
              <w:bottom w:val="single" w:sz="4" w:space="0" w:color="auto"/>
            </w:tcBorders>
          </w:tcPr>
          <w:p w14:paraId="3D52251B"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10</w:t>
            </w:r>
          </w:p>
        </w:tc>
      </w:tr>
      <w:tr w:rsidR="00706797" w:rsidRPr="00B66512" w14:paraId="1284CFA2" w14:textId="77777777" w:rsidTr="00F848E9">
        <w:tc>
          <w:tcPr>
            <w:tcW w:w="4820" w:type="dxa"/>
            <w:tcBorders>
              <w:top w:val="single" w:sz="4" w:space="0" w:color="auto"/>
              <w:bottom w:val="single" w:sz="4" w:space="0" w:color="auto"/>
              <w:right w:val="single" w:sz="4" w:space="0" w:color="auto"/>
            </w:tcBorders>
          </w:tcPr>
          <w:p w14:paraId="54DB1539"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Cs/>
                <w:color w:val="000000"/>
                <w:sz w:val="24"/>
                <w:szCs w:val="24"/>
                <w:lang w:eastAsia="en-US"/>
              </w:rPr>
            </w:pPr>
            <w:r w:rsidRPr="00B66512">
              <w:rPr>
                <w:rFonts w:ascii="Times New Roman CYR" w:hAnsi="Times New Roman CYR" w:cs="Times New Roman CYR"/>
                <w:bCs/>
                <w:color w:val="000000"/>
                <w:sz w:val="24"/>
                <w:szCs w:val="24"/>
                <w:lang w:eastAsia="en-US"/>
              </w:rPr>
              <w:t>Количество общеобразовательных учреждений</w:t>
            </w:r>
          </w:p>
        </w:tc>
        <w:tc>
          <w:tcPr>
            <w:tcW w:w="1418" w:type="dxa"/>
            <w:tcBorders>
              <w:top w:val="single" w:sz="4" w:space="0" w:color="auto"/>
              <w:left w:val="single" w:sz="4" w:space="0" w:color="auto"/>
              <w:bottom w:val="single" w:sz="4" w:space="0" w:color="auto"/>
              <w:right w:val="single" w:sz="4" w:space="0" w:color="auto"/>
            </w:tcBorders>
          </w:tcPr>
          <w:p w14:paraId="73CA02B2"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13</w:t>
            </w:r>
          </w:p>
        </w:tc>
        <w:tc>
          <w:tcPr>
            <w:tcW w:w="1481" w:type="dxa"/>
            <w:tcBorders>
              <w:top w:val="single" w:sz="4" w:space="0" w:color="auto"/>
              <w:left w:val="single" w:sz="4" w:space="0" w:color="auto"/>
              <w:bottom w:val="single" w:sz="4" w:space="0" w:color="auto"/>
              <w:right w:val="single" w:sz="4" w:space="0" w:color="auto"/>
            </w:tcBorders>
          </w:tcPr>
          <w:p w14:paraId="27D66273"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13</w:t>
            </w:r>
          </w:p>
        </w:tc>
        <w:tc>
          <w:tcPr>
            <w:tcW w:w="1921" w:type="dxa"/>
            <w:tcBorders>
              <w:top w:val="single" w:sz="4" w:space="0" w:color="auto"/>
              <w:left w:val="single" w:sz="4" w:space="0" w:color="auto"/>
              <w:bottom w:val="single" w:sz="4" w:space="0" w:color="auto"/>
            </w:tcBorders>
          </w:tcPr>
          <w:p w14:paraId="668B8BF3"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13</w:t>
            </w:r>
          </w:p>
        </w:tc>
      </w:tr>
      <w:tr w:rsidR="00706797" w:rsidRPr="00B66512" w14:paraId="78AB2505" w14:textId="77777777" w:rsidTr="00F848E9">
        <w:tc>
          <w:tcPr>
            <w:tcW w:w="4820" w:type="dxa"/>
            <w:tcBorders>
              <w:top w:val="single" w:sz="4" w:space="0" w:color="auto"/>
              <w:bottom w:val="single" w:sz="4" w:space="0" w:color="auto"/>
              <w:right w:val="single" w:sz="4" w:space="0" w:color="auto"/>
            </w:tcBorders>
          </w:tcPr>
          <w:p w14:paraId="0C1E31FA"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Cs/>
                <w:color w:val="000000"/>
                <w:sz w:val="24"/>
                <w:szCs w:val="24"/>
                <w:lang w:eastAsia="en-US"/>
              </w:rPr>
            </w:pPr>
            <w:r w:rsidRPr="00B66512">
              <w:rPr>
                <w:rFonts w:ascii="Times New Roman CYR" w:hAnsi="Times New Roman CYR" w:cs="Times New Roman CYR"/>
                <w:bCs/>
                <w:color w:val="000000"/>
                <w:sz w:val="24"/>
                <w:szCs w:val="24"/>
                <w:lang w:eastAsia="en-US"/>
              </w:rPr>
              <w:t>Количество учреждений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tcPr>
          <w:p w14:paraId="7D6FF92A"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3</w:t>
            </w:r>
          </w:p>
        </w:tc>
        <w:tc>
          <w:tcPr>
            <w:tcW w:w="1481" w:type="dxa"/>
            <w:tcBorders>
              <w:top w:val="single" w:sz="4" w:space="0" w:color="auto"/>
              <w:left w:val="single" w:sz="4" w:space="0" w:color="auto"/>
              <w:bottom w:val="single" w:sz="4" w:space="0" w:color="auto"/>
              <w:right w:val="single" w:sz="4" w:space="0" w:color="auto"/>
            </w:tcBorders>
          </w:tcPr>
          <w:p w14:paraId="4BB6CD0C"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3</w:t>
            </w:r>
          </w:p>
        </w:tc>
        <w:tc>
          <w:tcPr>
            <w:tcW w:w="1921" w:type="dxa"/>
            <w:tcBorders>
              <w:top w:val="single" w:sz="4" w:space="0" w:color="auto"/>
              <w:left w:val="single" w:sz="4" w:space="0" w:color="auto"/>
              <w:bottom w:val="single" w:sz="4" w:space="0" w:color="auto"/>
            </w:tcBorders>
          </w:tcPr>
          <w:p w14:paraId="3EE52AE3"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3</w:t>
            </w:r>
          </w:p>
        </w:tc>
      </w:tr>
      <w:tr w:rsidR="00706797" w:rsidRPr="00B66512" w14:paraId="2E908F4E" w14:textId="77777777" w:rsidTr="00F848E9">
        <w:tc>
          <w:tcPr>
            <w:tcW w:w="9640" w:type="dxa"/>
            <w:gridSpan w:val="4"/>
            <w:tcBorders>
              <w:top w:val="single" w:sz="4" w:space="0" w:color="auto"/>
              <w:bottom w:val="single" w:sz="4" w:space="0" w:color="auto"/>
            </w:tcBorders>
          </w:tcPr>
          <w:p w14:paraId="58B839DC" w14:textId="77777777" w:rsidR="00706797" w:rsidRPr="00B66512" w:rsidRDefault="00706797" w:rsidP="00706797">
            <w:pPr>
              <w:autoSpaceDE w:val="0"/>
              <w:autoSpaceDN w:val="0"/>
              <w:adjustRightInd w:val="0"/>
              <w:spacing w:after="0" w:line="240" w:lineRule="auto"/>
              <w:ind w:left="-108"/>
              <w:jc w:val="center"/>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lastRenderedPageBreak/>
              <w:t>Дошкольное образование</w:t>
            </w:r>
          </w:p>
        </w:tc>
      </w:tr>
      <w:tr w:rsidR="00706797" w:rsidRPr="00B66512" w14:paraId="637A20C1" w14:textId="77777777" w:rsidTr="00F848E9">
        <w:tc>
          <w:tcPr>
            <w:tcW w:w="4820" w:type="dxa"/>
            <w:tcBorders>
              <w:top w:val="single" w:sz="4" w:space="0" w:color="auto"/>
              <w:bottom w:val="single" w:sz="4" w:space="0" w:color="auto"/>
              <w:right w:val="single" w:sz="4" w:space="0" w:color="auto"/>
            </w:tcBorders>
          </w:tcPr>
          <w:p w14:paraId="7AD669C4"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hyperlink r:id="rId7" w:history="1">
              <w:r w:rsidRPr="00B66512">
                <w:rPr>
                  <w:rFonts w:ascii="Times New Roman CYR" w:hAnsi="Times New Roman CYR" w:cs="Times New Roman CYR"/>
                  <w:color w:val="000000"/>
                  <w:sz w:val="24"/>
                  <w:szCs w:val="24"/>
                  <w:u w:val="single"/>
                  <w:lang w:eastAsia="en-US"/>
                </w:rPr>
                <w:t>Численность детей в возрасте от 3 до 7 лет (с учетом детей 7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всех форм собственности, на конец периода</w:t>
              </w:r>
            </w:hyperlink>
          </w:p>
        </w:tc>
        <w:tc>
          <w:tcPr>
            <w:tcW w:w="1418" w:type="dxa"/>
            <w:tcBorders>
              <w:top w:val="single" w:sz="4" w:space="0" w:color="auto"/>
              <w:left w:val="single" w:sz="4" w:space="0" w:color="auto"/>
              <w:bottom w:val="single" w:sz="4" w:space="0" w:color="auto"/>
              <w:right w:val="single" w:sz="4" w:space="0" w:color="auto"/>
            </w:tcBorders>
          </w:tcPr>
          <w:p w14:paraId="0EA47A85"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510</w:t>
            </w:r>
          </w:p>
        </w:tc>
        <w:tc>
          <w:tcPr>
            <w:tcW w:w="1481" w:type="dxa"/>
            <w:tcBorders>
              <w:top w:val="single" w:sz="4" w:space="0" w:color="auto"/>
              <w:left w:val="single" w:sz="4" w:space="0" w:color="auto"/>
              <w:bottom w:val="single" w:sz="4" w:space="0" w:color="auto"/>
              <w:right w:val="single" w:sz="4" w:space="0" w:color="auto"/>
            </w:tcBorders>
          </w:tcPr>
          <w:p w14:paraId="56FCEC99" w14:textId="77777777" w:rsidR="00706797" w:rsidRPr="00B66512" w:rsidRDefault="00706797" w:rsidP="00706797">
            <w:pPr>
              <w:autoSpaceDE w:val="0"/>
              <w:autoSpaceDN w:val="0"/>
              <w:adjustRightInd w:val="0"/>
              <w:rPr>
                <w:rFonts w:ascii="Calibri" w:hAnsi="Calibri" w:cs="Calibri"/>
                <w:b/>
                <w:bCs/>
                <w:sz w:val="24"/>
                <w:szCs w:val="24"/>
                <w:lang w:eastAsia="en-US"/>
              </w:rPr>
            </w:pPr>
            <w:r w:rsidRPr="00B66512">
              <w:rPr>
                <w:rFonts w:ascii="Times New Roman CYR" w:hAnsi="Times New Roman CYR" w:cs="Times New Roman CYR"/>
                <w:b/>
                <w:bCs/>
                <w:color w:val="000000"/>
                <w:sz w:val="24"/>
                <w:szCs w:val="24"/>
                <w:lang w:eastAsia="en-US"/>
              </w:rPr>
              <w:t>510</w:t>
            </w:r>
          </w:p>
        </w:tc>
        <w:tc>
          <w:tcPr>
            <w:tcW w:w="1921" w:type="dxa"/>
            <w:tcBorders>
              <w:top w:val="single" w:sz="4" w:space="0" w:color="auto"/>
              <w:left w:val="single" w:sz="4" w:space="0" w:color="auto"/>
              <w:bottom w:val="single" w:sz="4" w:space="0" w:color="auto"/>
            </w:tcBorders>
          </w:tcPr>
          <w:p w14:paraId="400D90D5" w14:textId="77777777" w:rsidR="00706797" w:rsidRPr="00B66512" w:rsidRDefault="00706797" w:rsidP="00706797">
            <w:pPr>
              <w:autoSpaceDE w:val="0"/>
              <w:autoSpaceDN w:val="0"/>
              <w:adjustRightInd w:val="0"/>
              <w:rPr>
                <w:rFonts w:ascii="Calibri" w:hAnsi="Calibri" w:cs="Calibri"/>
                <w:b/>
                <w:bCs/>
                <w:sz w:val="24"/>
                <w:szCs w:val="24"/>
                <w:lang w:eastAsia="en-US"/>
              </w:rPr>
            </w:pPr>
            <w:r w:rsidRPr="00B66512">
              <w:rPr>
                <w:rFonts w:ascii="Times New Roman CYR" w:hAnsi="Times New Roman CYR" w:cs="Times New Roman CYR"/>
                <w:b/>
                <w:bCs/>
                <w:color w:val="000000"/>
                <w:sz w:val="24"/>
                <w:szCs w:val="24"/>
                <w:lang w:eastAsia="en-US"/>
              </w:rPr>
              <w:t>510</w:t>
            </w:r>
          </w:p>
        </w:tc>
      </w:tr>
      <w:tr w:rsidR="00706797" w:rsidRPr="00B66512" w14:paraId="4E8AF971" w14:textId="77777777" w:rsidTr="00F848E9">
        <w:tc>
          <w:tcPr>
            <w:tcW w:w="4820" w:type="dxa"/>
            <w:tcBorders>
              <w:top w:val="single" w:sz="4" w:space="0" w:color="auto"/>
              <w:bottom w:val="single" w:sz="4" w:space="0" w:color="auto"/>
              <w:right w:val="single" w:sz="4" w:space="0" w:color="auto"/>
            </w:tcBorders>
          </w:tcPr>
          <w:p w14:paraId="5F478319"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Cs/>
                <w:color w:val="000000"/>
                <w:sz w:val="24"/>
                <w:szCs w:val="24"/>
                <w:lang w:eastAsia="en-US"/>
              </w:rPr>
            </w:pPr>
            <w:hyperlink r:id="rId8" w:history="1">
              <w:r w:rsidRPr="00B66512">
                <w:rPr>
                  <w:rFonts w:ascii="Times New Roman CYR" w:hAnsi="Times New Roman CYR" w:cs="Times New Roman CYR"/>
                  <w:bCs/>
                  <w:color w:val="000000"/>
                  <w:sz w:val="24"/>
                  <w:szCs w:val="24"/>
                  <w:u w:val="single"/>
                  <w:lang w:eastAsia="en-US"/>
                </w:rPr>
                <w:t>Численность детей в возрасте от 1 до 6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муниципальной формы собственности, на конец периода</w:t>
              </w:r>
            </w:hyperlink>
          </w:p>
        </w:tc>
        <w:tc>
          <w:tcPr>
            <w:tcW w:w="1418" w:type="dxa"/>
            <w:tcBorders>
              <w:top w:val="single" w:sz="4" w:space="0" w:color="auto"/>
              <w:left w:val="single" w:sz="4" w:space="0" w:color="auto"/>
              <w:bottom w:val="single" w:sz="4" w:space="0" w:color="auto"/>
              <w:right w:val="single" w:sz="4" w:space="0" w:color="auto"/>
            </w:tcBorders>
          </w:tcPr>
          <w:p w14:paraId="557D4101" w14:textId="77777777" w:rsidR="00706797" w:rsidRPr="00B66512" w:rsidRDefault="00706797" w:rsidP="00706797">
            <w:pPr>
              <w:autoSpaceDE w:val="0"/>
              <w:autoSpaceDN w:val="0"/>
              <w:adjustRightInd w:val="0"/>
              <w:spacing w:after="0" w:line="240" w:lineRule="auto"/>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422</w:t>
            </w:r>
          </w:p>
        </w:tc>
        <w:tc>
          <w:tcPr>
            <w:tcW w:w="1481" w:type="dxa"/>
            <w:tcBorders>
              <w:top w:val="single" w:sz="4" w:space="0" w:color="auto"/>
              <w:left w:val="single" w:sz="4" w:space="0" w:color="auto"/>
              <w:bottom w:val="single" w:sz="4" w:space="0" w:color="auto"/>
              <w:right w:val="single" w:sz="4" w:space="0" w:color="auto"/>
            </w:tcBorders>
          </w:tcPr>
          <w:p w14:paraId="4133A4EC" w14:textId="77777777" w:rsidR="00706797" w:rsidRPr="00B66512" w:rsidRDefault="00706797" w:rsidP="00706797">
            <w:pPr>
              <w:autoSpaceDE w:val="0"/>
              <w:autoSpaceDN w:val="0"/>
              <w:adjustRightInd w:val="0"/>
              <w:rPr>
                <w:rFonts w:ascii="Calibri" w:hAnsi="Calibri" w:cs="Calibri"/>
                <w:b/>
                <w:bCs/>
                <w:sz w:val="24"/>
                <w:szCs w:val="24"/>
                <w:lang w:eastAsia="en-US"/>
              </w:rPr>
            </w:pPr>
            <w:r w:rsidRPr="00B66512">
              <w:rPr>
                <w:rFonts w:ascii="Times New Roman CYR" w:hAnsi="Times New Roman CYR" w:cs="Times New Roman CYR"/>
                <w:b/>
                <w:bCs/>
                <w:color w:val="000000"/>
                <w:sz w:val="24"/>
                <w:szCs w:val="24"/>
                <w:lang w:eastAsia="en-US"/>
              </w:rPr>
              <w:t>422</w:t>
            </w:r>
          </w:p>
        </w:tc>
        <w:tc>
          <w:tcPr>
            <w:tcW w:w="1921" w:type="dxa"/>
            <w:tcBorders>
              <w:top w:val="single" w:sz="4" w:space="0" w:color="auto"/>
              <w:left w:val="single" w:sz="4" w:space="0" w:color="auto"/>
              <w:bottom w:val="single" w:sz="4" w:space="0" w:color="auto"/>
            </w:tcBorders>
          </w:tcPr>
          <w:p w14:paraId="754AB83D" w14:textId="77777777" w:rsidR="00706797" w:rsidRPr="00B66512" w:rsidRDefault="00706797" w:rsidP="00706797">
            <w:pPr>
              <w:autoSpaceDE w:val="0"/>
              <w:autoSpaceDN w:val="0"/>
              <w:adjustRightInd w:val="0"/>
              <w:rPr>
                <w:rFonts w:ascii="Calibri" w:hAnsi="Calibri" w:cs="Calibri"/>
                <w:b/>
                <w:bCs/>
                <w:sz w:val="24"/>
                <w:szCs w:val="24"/>
                <w:lang w:eastAsia="en-US"/>
              </w:rPr>
            </w:pPr>
            <w:r w:rsidRPr="00B66512">
              <w:rPr>
                <w:rFonts w:ascii="Times New Roman CYR" w:hAnsi="Times New Roman CYR" w:cs="Times New Roman CYR"/>
                <w:b/>
                <w:bCs/>
                <w:color w:val="000000"/>
                <w:sz w:val="24"/>
                <w:szCs w:val="24"/>
                <w:lang w:eastAsia="en-US"/>
              </w:rPr>
              <w:t>422</w:t>
            </w:r>
          </w:p>
        </w:tc>
      </w:tr>
      <w:tr w:rsidR="00706797" w:rsidRPr="00B66512" w14:paraId="4200919F" w14:textId="77777777" w:rsidTr="00F848E9">
        <w:tc>
          <w:tcPr>
            <w:tcW w:w="4820" w:type="dxa"/>
            <w:tcBorders>
              <w:top w:val="single" w:sz="4" w:space="0" w:color="auto"/>
              <w:bottom w:val="single" w:sz="4" w:space="0" w:color="auto"/>
              <w:right w:val="single" w:sz="4" w:space="0" w:color="auto"/>
            </w:tcBorders>
          </w:tcPr>
          <w:p w14:paraId="44903280"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Cs/>
                <w:color w:val="000000"/>
                <w:sz w:val="24"/>
                <w:szCs w:val="24"/>
                <w:lang w:eastAsia="en-US"/>
              </w:rPr>
            </w:pPr>
            <w:r w:rsidRPr="00B66512">
              <w:rPr>
                <w:rFonts w:ascii="Times New Roman CYR" w:hAnsi="Times New Roman CYR" w:cs="Times New Roman CYR"/>
                <w:bCs/>
                <w:color w:val="000000"/>
                <w:sz w:val="24"/>
                <w:szCs w:val="24"/>
                <w:lang w:eastAsia="en-US"/>
              </w:rPr>
              <w:t>Численность детей, посещающих дошкольные образовательные учреждения</w:t>
            </w:r>
          </w:p>
        </w:tc>
        <w:tc>
          <w:tcPr>
            <w:tcW w:w="1418" w:type="dxa"/>
            <w:tcBorders>
              <w:top w:val="single" w:sz="4" w:space="0" w:color="auto"/>
              <w:left w:val="single" w:sz="4" w:space="0" w:color="auto"/>
              <w:bottom w:val="single" w:sz="4" w:space="0" w:color="auto"/>
              <w:right w:val="single" w:sz="4" w:space="0" w:color="auto"/>
            </w:tcBorders>
          </w:tcPr>
          <w:p w14:paraId="6AEE3928"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561</w:t>
            </w:r>
          </w:p>
        </w:tc>
        <w:tc>
          <w:tcPr>
            <w:tcW w:w="1481" w:type="dxa"/>
            <w:tcBorders>
              <w:top w:val="single" w:sz="4" w:space="0" w:color="auto"/>
              <w:left w:val="single" w:sz="4" w:space="0" w:color="auto"/>
              <w:bottom w:val="single" w:sz="4" w:space="0" w:color="auto"/>
              <w:right w:val="single" w:sz="4" w:space="0" w:color="auto"/>
            </w:tcBorders>
          </w:tcPr>
          <w:p w14:paraId="50139982"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561</w:t>
            </w:r>
          </w:p>
        </w:tc>
        <w:tc>
          <w:tcPr>
            <w:tcW w:w="1921" w:type="dxa"/>
            <w:tcBorders>
              <w:top w:val="single" w:sz="4" w:space="0" w:color="auto"/>
              <w:left w:val="single" w:sz="4" w:space="0" w:color="auto"/>
              <w:bottom w:val="single" w:sz="4" w:space="0" w:color="auto"/>
            </w:tcBorders>
          </w:tcPr>
          <w:p w14:paraId="1AF4F24F"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561</w:t>
            </w:r>
          </w:p>
        </w:tc>
      </w:tr>
      <w:tr w:rsidR="00706797" w:rsidRPr="00B66512" w14:paraId="55AB44E5" w14:textId="77777777" w:rsidTr="00F848E9">
        <w:tc>
          <w:tcPr>
            <w:tcW w:w="4820" w:type="dxa"/>
            <w:tcBorders>
              <w:top w:val="single" w:sz="4" w:space="0" w:color="auto"/>
              <w:bottom w:val="single" w:sz="4" w:space="0" w:color="auto"/>
              <w:right w:val="single" w:sz="4" w:space="0" w:color="auto"/>
            </w:tcBorders>
          </w:tcPr>
          <w:p w14:paraId="2ADF6132"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Cs/>
                <w:color w:val="000000"/>
                <w:sz w:val="24"/>
                <w:szCs w:val="24"/>
                <w:lang w:eastAsia="en-US"/>
              </w:rPr>
            </w:pPr>
            <w:r w:rsidRPr="00B66512">
              <w:rPr>
                <w:rFonts w:ascii="Times New Roman CYR" w:hAnsi="Times New Roman CYR" w:cs="Times New Roman CYR"/>
                <w:bCs/>
                <w:color w:val="000000"/>
                <w:sz w:val="24"/>
                <w:szCs w:val="24"/>
                <w:lang w:eastAsia="en-US"/>
              </w:rPr>
              <w:t>Обеспеченность дошкольными образовательными учреждениями детей в возрасте от 1 до 6 лет</w:t>
            </w:r>
          </w:p>
        </w:tc>
        <w:tc>
          <w:tcPr>
            <w:tcW w:w="1418" w:type="dxa"/>
            <w:tcBorders>
              <w:top w:val="single" w:sz="4" w:space="0" w:color="auto"/>
              <w:left w:val="single" w:sz="4" w:space="0" w:color="auto"/>
              <w:bottom w:val="single" w:sz="4" w:space="0" w:color="auto"/>
              <w:right w:val="single" w:sz="4" w:space="0" w:color="auto"/>
            </w:tcBorders>
          </w:tcPr>
          <w:p w14:paraId="56A08C3C" w14:textId="77777777" w:rsidR="00706797" w:rsidRPr="00B66512" w:rsidRDefault="00706797" w:rsidP="00706797">
            <w:pPr>
              <w:autoSpaceDE w:val="0"/>
              <w:autoSpaceDN w:val="0"/>
              <w:adjustRightInd w:val="0"/>
              <w:spacing w:after="0" w:line="240" w:lineRule="auto"/>
              <w:jc w:val="both"/>
              <w:rPr>
                <w:rFonts w:ascii="Times New Roman CYR" w:hAnsi="Times New Roman CYR" w:cs="Times New Roman CYR"/>
                <w:b/>
                <w:bCs/>
                <w:color w:val="000000"/>
                <w:sz w:val="24"/>
                <w:szCs w:val="24"/>
                <w:lang w:eastAsia="en-US"/>
              </w:rPr>
            </w:pPr>
            <w:r w:rsidRPr="00B66512">
              <w:rPr>
                <w:rFonts w:ascii="Times New Roman CYR" w:hAnsi="Times New Roman CYR" w:cs="Times New Roman CYR"/>
                <w:b/>
                <w:bCs/>
                <w:color w:val="000000"/>
                <w:sz w:val="24"/>
                <w:szCs w:val="24"/>
                <w:lang w:eastAsia="en-US"/>
              </w:rPr>
              <w:t>72,0</w:t>
            </w:r>
          </w:p>
        </w:tc>
        <w:tc>
          <w:tcPr>
            <w:tcW w:w="1481" w:type="dxa"/>
            <w:tcBorders>
              <w:top w:val="single" w:sz="4" w:space="0" w:color="auto"/>
              <w:left w:val="single" w:sz="4" w:space="0" w:color="auto"/>
              <w:bottom w:val="single" w:sz="4" w:space="0" w:color="auto"/>
              <w:right w:val="single" w:sz="4" w:space="0" w:color="auto"/>
            </w:tcBorders>
          </w:tcPr>
          <w:p w14:paraId="6830C82A" w14:textId="77777777" w:rsidR="00706797" w:rsidRPr="00B66512" w:rsidRDefault="00706797" w:rsidP="00706797">
            <w:pPr>
              <w:spacing w:after="0" w:line="240" w:lineRule="auto"/>
              <w:jc w:val="both"/>
              <w:rPr>
                <w:rFonts w:ascii="Times New Roman" w:hAnsi="Times New Roman"/>
                <w:sz w:val="24"/>
                <w:szCs w:val="24"/>
              </w:rPr>
            </w:pPr>
            <w:r w:rsidRPr="00B66512">
              <w:rPr>
                <w:rFonts w:ascii="Times New Roman CYR" w:hAnsi="Times New Roman CYR" w:cs="Times New Roman CYR"/>
                <w:b/>
                <w:bCs/>
                <w:color w:val="000000"/>
                <w:sz w:val="24"/>
                <w:szCs w:val="24"/>
                <w:lang w:eastAsia="en-US"/>
              </w:rPr>
              <w:t>72,0</w:t>
            </w:r>
          </w:p>
        </w:tc>
        <w:tc>
          <w:tcPr>
            <w:tcW w:w="1921" w:type="dxa"/>
            <w:tcBorders>
              <w:top w:val="single" w:sz="4" w:space="0" w:color="auto"/>
              <w:left w:val="single" w:sz="4" w:space="0" w:color="auto"/>
              <w:bottom w:val="single" w:sz="4" w:space="0" w:color="auto"/>
            </w:tcBorders>
          </w:tcPr>
          <w:p w14:paraId="327BE274" w14:textId="77777777" w:rsidR="00706797" w:rsidRPr="00B66512" w:rsidRDefault="00706797" w:rsidP="00706797">
            <w:pPr>
              <w:spacing w:after="0" w:line="240" w:lineRule="auto"/>
              <w:jc w:val="both"/>
              <w:rPr>
                <w:rFonts w:ascii="Times New Roman" w:hAnsi="Times New Roman"/>
                <w:sz w:val="24"/>
                <w:szCs w:val="24"/>
              </w:rPr>
            </w:pPr>
            <w:r w:rsidRPr="00B66512">
              <w:rPr>
                <w:rFonts w:ascii="Times New Roman CYR" w:hAnsi="Times New Roman CYR" w:cs="Times New Roman CYR"/>
                <w:b/>
                <w:bCs/>
                <w:color w:val="000000"/>
                <w:sz w:val="24"/>
                <w:szCs w:val="24"/>
                <w:lang w:eastAsia="en-US"/>
              </w:rPr>
              <w:t>72,0</w:t>
            </w:r>
          </w:p>
        </w:tc>
      </w:tr>
    </w:tbl>
    <w:p w14:paraId="267EED58" w14:textId="77777777" w:rsidR="00706797"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 xml:space="preserve">Доля дошкольных образовательных организаций муниципальной формы собственности, здания которых находятся в аварийном состоянии или требуют капитального ремонта, в общем числе дошкольных образовательных организаций муниципальной формы собственности в 2023 году составляло  10%, в связи с тем, что в здании Б2 МБДОУ детский сад «Колобок» проводился капитальный ремонт. В 2024 году ремонт здания закончен. </w:t>
      </w:r>
    </w:p>
    <w:p w14:paraId="6E640EE0" w14:textId="77777777" w:rsidR="00A1601E" w:rsidRPr="00B66512" w:rsidRDefault="00706797" w:rsidP="00706797">
      <w:pPr>
        <w:tabs>
          <w:tab w:val="left" w:pos="709"/>
          <w:tab w:val="left" w:pos="851"/>
        </w:tabs>
        <w:autoSpaceDE w:val="0"/>
        <w:autoSpaceDN w:val="0"/>
        <w:adjustRightInd w:val="0"/>
        <w:spacing w:after="0" w:line="240" w:lineRule="auto"/>
        <w:ind w:firstLine="709"/>
        <w:jc w:val="both"/>
        <w:rPr>
          <w:rFonts w:ascii="Times New Roman CYR" w:hAnsi="Times New Roman CYR" w:cs="Times New Roman CYR"/>
          <w:bCs/>
          <w:sz w:val="28"/>
          <w:szCs w:val="28"/>
        </w:rPr>
      </w:pPr>
      <w:r w:rsidRPr="00B66512">
        <w:rPr>
          <w:rFonts w:ascii="Times New Roman CYR" w:hAnsi="Times New Roman CYR" w:cs="Times New Roman CYR"/>
          <w:bCs/>
          <w:sz w:val="28"/>
          <w:szCs w:val="28"/>
        </w:rPr>
        <w:t>В плановом периоде 2025 – 2027г. показатель останется на прежнем уровне в связи с тем, что планируется капитальный ремонт основного здания МБДОУ детский сад «Колобок»</w:t>
      </w:r>
      <w:bookmarkEnd w:id="3"/>
      <w:bookmarkEnd w:id="4"/>
      <w:bookmarkEnd w:id="5"/>
      <w:r w:rsidRPr="00B66512">
        <w:rPr>
          <w:rFonts w:ascii="Times New Roman CYR" w:hAnsi="Times New Roman CYR" w:cs="Times New Roman CYR"/>
          <w:bCs/>
          <w:sz w:val="28"/>
          <w:szCs w:val="28"/>
        </w:rPr>
        <w:t>.</w:t>
      </w:r>
    </w:p>
    <w:p w14:paraId="0F9B9346" w14:textId="77777777" w:rsidR="00F04841" w:rsidRDefault="00F04841">
      <w:pPr>
        <w:widowControl w:val="0"/>
        <w:autoSpaceDE w:val="0"/>
        <w:autoSpaceDN w:val="0"/>
        <w:adjustRightInd w:val="0"/>
        <w:spacing w:after="0" w:line="240" w:lineRule="auto"/>
        <w:rPr>
          <w:rFonts w:ascii="Times New Roman CYR" w:hAnsi="Times New Roman CYR" w:cs="Times New Roman CYR"/>
          <w:color w:val="000000"/>
          <w:sz w:val="28"/>
          <w:szCs w:val="28"/>
        </w:rPr>
      </w:pPr>
    </w:p>
    <w:p w14:paraId="5E6DAD7C" w14:textId="77777777" w:rsidR="008343F5" w:rsidRDefault="008343F5">
      <w:pPr>
        <w:widowControl w:val="0"/>
        <w:autoSpaceDE w:val="0"/>
        <w:autoSpaceDN w:val="0"/>
        <w:adjustRightInd w:val="0"/>
        <w:spacing w:after="0" w:line="240" w:lineRule="auto"/>
        <w:rPr>
          <w:rFonts w:ascii="Times New Roman CYR" w:hAnsi="Times New Roman CYR" w:cs="Times New Roman CYR"/>
          <w:color w:val="000000"/>
          <w:sz w:val="28"/>
          <w:szCs w:val="28"/>
        </w:rPr>
      </w:pPr>
    </w:p>
    <w:p w14:paraId="30A54BB5" w14:textId="77777777" w:rsidR="008343F5" w:rsidRPr="00B66512" w:rsidRDefault="008343F5">
      <w:pPr>
        <w:widowControl w:val="0"/>
        <w:autoSpaceDE w:val="0"/>
        <w:autoSpaceDN w:val="0"/>
        <w:adjustRightInd w:val="0"/>
        <w:spacing w:after="0" w:line="240" w:lineRule="auto"/>
        <w:rPr>
          <w:rFonts w:ascii="Times New Roman CYR" w:hAnsi="Times New Roman CYR" w:cs="Times New Roman CYR"/>
          <w:color w:val="000000"/>
          <w:sz w:val="28"/>
          <w:szCs w:val="28"/>
        </w:rPr>
      </w:pPr>
    </w:p>
    <w:p w14:paraId="50563A8A" w14:textId="77777777" w:rsidR="00F04841" w:rsidRPr="00B66512" w:rsidRDefault="00F04841">
      <w:pPr>
        <w:widowControl w:val="0"/>
        <w:autoSpaceDE w:val="0"/>
        <w:autoSpaceDN w:val="0"/>
        <w:adjustRightInd w:val="0"/>
        <w:spacing w:after="0" w:line="240" w:lineRule="auto"/>
        <w:rPr>
          <w:rFonts w:ascii="Times New Roman CYR" w:hAnsi="Times New Roman CYR" w:cs="Times New Roman CYR"/>
          <w:color w:val="000000"/>
          <w:sz w:val="12"/>
          <w:szCs w:val="12"/>
        </w:rPr>
      </w:pPr>
    </w:p>
    <w:p w14:paraId="1710AD88"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b/>
          <w:bCs/>
          <w:color w:val="000000"/>
          <w:sz w:val="28"/>
          <w:szCs w:val="28"/>
        </w:rPr>
      </w:pPr>
      <w:r w:rsidRPr="00B66512">
        <w:rPr>
          <w:rFonts w:ascii="Times New Roman CYR" w:hAnsi="Times New Roman CYR" w:cs="Times New Roman CYR"/>
          <w:b/>
          <w:bCs/>
          <w:color w:val="000000"/>
          <w:sz w:val="28"/>
          <w:szCs w:val="28"/>
        </w:rPr>
        <w:t>17. Культура</w:t>
      </w:r>
    </w:p>
    <w:p w14:paraId="75DDF55F" w14:textId="77777777" w:rsidR="00DF3A5B" w:rsidRPr="00B66512" w:rsidRDefault="00DF3A5B">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5F1B3BD7" w14:textId="77777777" w:rsidR="006B48BF" w:rsidRPr="00B66512" w:rsidRDefault="006B48BF" w:rsidP="006B48BF">
      <w:pPr>
        <w:spacing w:after="0" w:line="240" w:lineRule="auto"/>
        <w:ind w:firstLine="709"/>
        <w:jc w:val="both"/>
        <w:rPr>
          <w:rFonts w:ascii="Times New Roman CYR" w:hAnsi="Times New Roman CYR" w:cs="Times New Roman CYR"/>
          <w:b/>
          <w:sz w:val="28"/>
          <w:szCs w:val="28"/>
        </w:rPr>
      </w:pPr>
      <w:r w:rsidRPr="00B66512">
        <w:rPr>
          <w:rFonts w:ascii="Times New Roman CYR" w:hAnsi="Times New Roman CYR" w:cs="Times New Roman CYR"/>
          <w:b/>
          <w:sz w:val="28"/>
          <w:szCs w:val="28"/>
        </w:rPr>
        <w:t>Общедоступные библиотеки:</w:t>
      </w:r>
    </w:p>
    <w:p w14:paraId="32D38A89"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Количество общедоступных библиотек всех форм собственности в районе - 21. По оценке 2024 и прогнозном периоде 2025-2027 годов планируется общее количество библиотек 21, без изменения.</w:t>
      </w:r>
    </w:p>
    <w:p w14:paraId="78768507"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По состоянию на 01.01.2024 года численность работников общедоступных библиотек всех форм собственности составила 36 человек.</w:t>
      </w:r>
    </w:p>
    <w:p w14:paraId="75DA66E2"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lastRenderedPageBreak/>
        <w:t>Библиотечный фонд общедоступных библиотек всех форм собственности в 2023 году по отношению к 2022 году снизился на 7,92 тыс. и составил 212,127 тыс. экземпляров, по причине списания устаревшей и непрофильной литературы.</w:t>
      </w:r>
    </w:p>
    <w:p w14:paraId="56A9EA5B"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Книгообеспеченность библиотечным фондом всех форм собственности составила 16. Количество экземпляров библиотечного фонда на 1000 человек составляет 815, что соответствует плановым показателям. </w:t>
      </w:r>
    </w:p>
    <w:p w14:paraId="4F908172"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Количество новых изданий, поступивших в фонды общедоступных библиотек муниципальной формы собственности поступило 10134 экз. </w:t>
      </w:r>
    </w:p>
    <w:p w14:paraId="75C2CAD4"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За отчетный период фактическое число пользователей библиотек составило 13002 человека. По оценке 2024 года ожидается снижение числа пользователей, так как население района уменьшается.</w:t>
      </w:r>
    </w:p>
    <w:p w14:paraId="4CEC0DBE" w14:textId="77777777" w:rsidR="006B48BF" w:rsidRPr="00B66512" w:rsidRDefault="006B48BF" w:rsidP="006B48BF">
      <w:pPr>
        <w:spacing w:after="0" w:line="240" w:lineRule="auto"/>
        <w:ind w:firstLine="709"/>
        <w:jc w:val="both"/>
        <w:rPr>
          <w:rFonts w:ascii="Times New Roman CYR" w:hAnsi="Times New Roman CYR" w:cs="Times New Roman CYR"/>
          <w:b/>
          <w:sz w:val="28"/>
          <w:szCs w:val="28"/>
        </w:rPr>
      </w:pPr>
      <w:r w:rsidRPr="00B66512">
        <w:rPr>
          <w:rFonts w:ascii="Times New Roman CYR" w:hAnsi="Times New Roman CYR" w:cs="Times New Roman CYR"/>
          <w:b/>
          <w:sz w:val="28"/>
          <w:szCs w:val="28"/>
        </w:rPr>
        <w:t>Культурно-досуговая деятельность:</w:t>
      </w:r>
    </w:p>
    <w:p w14:paraId="16D80D10"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Количество организаций культурно-досугового типа всех форм собственности на 01.01.2024 года не изменилось, осталось на уровне 24 единиц.</w:t>
      </w:r>
    </w:p>
    <w:p w14:paraId="7979ECE2"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Численность работников в 2023 году составила 65 человек. </w:t>
      </w:r>
    </w:p>
    <w:p w14:paraId="5581A4A5"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Количество мест в зрительных залах культурно-досугового типа  составляет 3504,  по сравнению с отчетными данными 2022 года, без изменения. </w:t>
      </w:r>
    </w:p>
    <w:p w14:paraId="6996223C"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Численность посетителей на платной основе составило в 2023 году 56391. Следует отметить, что повысилось качество предоставляемых культурных услуг, внедряются новые социальные технологии, реализуются социокультурные проекты. </w:t>
      </w:r>
    </w:p>
    <w:p w14:paraId="3FAC3EE6"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Количество клубных формирований при учреждениях культурно-досугового типа по сравнению с 2022 годом увеличилось в отчетном году, все кружковые объединения работали согласно утвержденной дорожной карте. Численность участников в клубных формированиях за 2023 год составила 1999 участников. </w:t>
      </w:r>
    </w:p>
    <w:p w14:paraId="4DF5D4FF" w14:textId="77777777" w:rsidR="006B48BF" w:rsidRPr="00B66512" w:rsidRDefault="006B48BF" w:rsidP="006B48BF">
      <w:pPr>
        <w:spacing w:after="0" w:line="240" w:lineRule="auto"/>
        <w:ind w:firstLine="709"/>
        <w:jc w:val="both"/>
        <w:rPr>
          <w:rFonts w:ascii="Times New Roman CYR" w:hAnsi="Times New Roman CYR" w:cs="Times New Roman CYR"/>
          <w:b/>
          <w:sz w:val="28"/>
          <w:szCs w:val="28"/>
        </w:rPr>
      </w:pPr>
      <w:r w:rsidRPr="00B66512">
        <w:rPr>
          <w:rFonts w:ascii="Times New Roman CYR" w:hAnsi="Times New Roman CYR" w:cs="Times New Roman CYR"/>
          <w:b/>
          <w:sz w:val="28"/>
          <w:szCs w:val="28"/>
        </w:rPr>
        <w:t>Деятельность музея:</w:t>
      </w:r>
    </w:p>
    <w:p w14:paraId="6AF91380"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 xml:space="preserve">В районе имеется 1 краеведческий музей с филиалом – сельской картинной галереей им. Ю.А. Бражникова в с. Таскино. Число работников музея и картинной галереи составляет 6 человек, из них основной персонал – 5 человек. Экспозиционно-выставочная площадь музея  – 90,35, галереи – 103 кв. метра. Площадь под хранение фондов музея – 10,85, галереи -  65 кв. метров. </w:t>
      </w:r>
    </w:p>
    <w:p w14:paraId="706DFFAC"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Количество предметов основного фонда учреждений музейного типа муниципальной формы собственности составило 3783 единиц.</w:t>
      </w:r>
    </w:p>
    <w:p w14:paraId="46F65229"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Увеличилось количество музейных предметов учреждений музейного типа всех форм собственности, внесённых в электронный каталог</w:t>
      </w:r>
      <w:r w:rsidR="008343F5">
        <w:rPr>
          <w:rFonts w:ascii="Times New Roman CYR" w:hAnsi="Times New Roman CYR" w:cs="Times New Roman CYR"/>
          <w:sz w:val="28"/>
          <w:szCs w:val="28"/>
        </w:rPr>
        <w:t>,</w:t>
      </w:r>
      <w:r w:rsidRPr="00B66512">
        <w:rPr>
          <w:rFonts w:ascii="Times New Roman CYR" w:hAnsi="Times New Roman CYR" w:cs="Times New Roman CYR"/>
          <w:sz w:val="28"/>
          <w:szCs w:val="28"/>
        </w:rPr>
        <w:t xml:space="preserve"> и составляет на 01.01.2024 г. - 3783 единиц. </w:t>
      </w:r>
    </w:p>
    <w:p w14:paraId="72BABF4A"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Численность посетителей учреждений музейного типа составило 14100 человек.</w:t>
      </w:r>
    </w:p>
    <w:p w14:paraId="01497645" w14:textId="77777777" w:rsidR="006B48BF" w:rsidRPr="00B66512" w:rsidRDefault="006B48BF" w:rsidP="006B48BF">
      <w:pPr>
        <w:spacing w:after="0" w:line="240" w:lineRule="auto"/>
        <w:ind w:firstLine="708"/>
        <w:jc w:val="both"/>
        <w:rPr>
          <w:rFonts w:ascii="Times New Roman CYR" w:hAnsi="Times New Roman CYR" w:cs="Times New Roman CYR"/>
          <w:b/>
          <w:sz w:val="28"/>
          <w:szCs w:val="28"/>
        </w:rPr>
      </w:pPr>
      <w:r w:rsidRPr="00B66512">
        <w:rPr>
          <w:rFonts w:ascii="Times New Roman CYR" w:hAnsi="Times New Roman CYR" w:cs="Times New Roman CYR"/>
          <w:b/>
          <w:sz w:val="28"/>
          <w:szCs w:val="28"/>
        </w:rPr>
        <w:t>Деятельность киноустановок:</w:t>
      </w:r>
    </w:p>
    <w:p w14:paraId="7A4AD642"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lastRenderedPageBreak/>
        <w:t>Количество киноустановок – 8,  без изменения.</w:t>
      </w:r>
    </w:p>
    <w:p w14:paraId="240A8DBA"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В Центре культурных инициатив и кинематографии Каратузского района, численность штатных работников – 15 человек. Количество мест в зрительных залах киноустановок муниципальной формы собственности составило 1951.</w:t>
      </w:r>
    </w:p>
    <w:p w14:paraId="43EBDF3A"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b/>
          <w:sz w:val="28"/>
          <w:szCs w:val="28"/>
        </w:rPr>
        <w:t>В районе одно образовательное</w:t>
      </w:r>
      <w:r w:rsidRPr="00B66512">
        <w:rPr>
          <w:rFonts w:ascii="Times New Roman CYR" w:hAnsi="Times New Roman CYR" w:cs="Times New Roman CYR"/>
          <w:sz w:val="28"/>
          <w:szCs w:val="28"/>
        </w:rPr>
        <w:t xml:space="preserve"> учреждение дополнительного образования художественно-эстетической направленности – Муниципальное бюджетное учреждение дополнительного образования «Каратузская детская школа искусств».  Количество обучающихся – 292 ребенка. Состав работников: всего работающих – 20, из них 14 преподаватели. ДШИ ежегодно показывает высокие результаты  образовательной и культурно-просветительской деятельности. </w:t>
      </w:r>
    </w:p>
    <w:p w14:paraId="4ADF98EC" w14:textId="77777777" w:rsidR="006B48BF" w:rsidRPr="00B66512" w:rsidRDefault="006B48BF" w:rsidP="006B48BF">
      <w:pPr>
        <w:spacing w:after="0" w:line="240" w:lineRule="auto"/>
        <w:ind w:firstLine="709"/>
        <w:jc w:val="both"/>
        <w:rPr>
          <w:rFonts w:ascii="Times New Roman CYR" w:hAnsi="Times New Roman CYR" w:cs="Times New Roman CYR"/>
          <w:color w:val="000000"/>
          <w:sz w:val="28"/>
          <w:szCs w:val="28"/>
        </w:rPr>
      </w:pPr>
      <w:r w:rsidRPr="00B66512">
        <w:rPr>
          <w:rFonts w:ascii="Times New Roman CYR" w:hAnsi="Times New Roman CYR" w:cs="Times New Roman CYR"/>
          <w:color w:val="000000"/>
          <w:sz w:val="28"/>
          <w:szCs w:val="28"/>
        </w:rPr>
        <w:t xml:space="preserve">Количество зданий, в которых располагаются учреждения культуры – 23. В 13 сельских Центрах культуры в одном здании находятся библиотека и клуб, 6 библиотек имеют отдельные здания. </w:t>
      </w:r>
    </w:p>
    <w:p w14:paraId="7EFA824D" w14:textId="77777777" w:rsidR="006B48BF" w:rsidRPr="00B66512" w:rsidRDefault="006B48BF" w:rsidP="006B48BF">
      <w:pPr>
        <w:spacing w:after="0" w:line="240" w:lineRule="auto"/>
        <w:ind w:firstLine="709"/>
        <w:jc w:val="both"/>
        <w:rPr>
          <w:rFonts w:ascii="Times New Roman CYR" w:hAnsi="Times New Roman CYR" w:cs="Times New Roman CYR"/>
          <w:color w:val="000000"/>
          <w:sz w:val="28"/>
          <w:szCs w:val="28"/>
        </w:rPr>
      </w:pPr>
      <w:r w:rsidRPr="00B66512">
        <w:rPr>
          <w:rFonts w:ascii="Times New Roman CYR" w:hAnsi="Times New Roman CYR" w:cs="Times New Roman CYR"/>
          <w:color w:val="000000"/>
          <w:sz w:val="28"/>
          <w:szCs w:val="28"/>
        </w:rPr>
        <w:t>Количество учреждений культуры и искусства всех форм собственности, здания которых требуют капитального ремонта – 7, из них  Таскинский сельский клуб, Верхнекужебарский, Моторский,  Таятский, Ширыштыкский и 3 здания сельских общедоступных библиотек  в селах Верхний Кужебар, Нижние Куряты, Старая Копь. В прогнозируемом периоде 2025-2027 годах планируется снижение количества зданий, требующих ремонтов за счет проведения капитальных ремонтов в сельских клубах (в случае участия в грантовых программах).</w:t>
      </w:r>
    </w:p>
    <w:p w14:paraId="6B65CBBE"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Доля учреждений культуры муниципальной формы собственности, здания которых находятся в аварийном состоянии или требуют капитального ремонта, в общем количестве учреждений культуры муниципальной формы собственности по итогам 2023 года составила 30,43%. Планировалось проведение ремонтов в сельских клубах, но отсутствие денежных средств в бюджете не позволило проведение требуемых ремонтных работ. По оценке 2024 года и прогнозном периоде 2025-2027 годы планируется участие сельских клубов в конкурсных отборах программы Красноярского края «Развитие культуры и туризма», в случае получения денежных средств, будут проведены ремонтные работы, в следствие чего доля зданий, которые требуют капитального ремонта  к  2027 году, уменьшится.</w:t>
      </w:r>
    </w:p>
    <w:p w14:paraId="3B4616F5"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Показатели, утверждённые «дорожной картой» развития отрасли культуры района в 2023 году, выполнены в полном объеме. Прогнозируется увеличение показателей по оказанию платных услуг муниципальными бюджетными учреждениями культуры всех направлений в связи с разработкой новых планов финансово-хозяйственной деятельности в рамках муниципального задания.</w:t>
      </w:r>
    </w:p>
    <w:p w14:paraId="0AEB943E"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Уровень фактической обеспеченности клубами и учреждениями клубного типа от нормативной потребности составляет 100%. По оценке 2024 года и в прогнозном периоде 2025-2027 годов изменений не ожидается.</w:t>
      </w:r>
    </w:p>
    <w:p w14:paraId="0AA2BCD5"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lastRenderedPageBreak/>
        <w:t xml:space="preserve">В прогнозном периоде одним из направлений межмуниципальной кооперации южных  районов края, является  развитие туристской отрасли, позиционирование района в совместном проекте по развитию туризма Южных территорий края, создание единого  информационного сайта по предоставлению туристических услуг, развитию гостевого туризма, создание современной территориально-рекреационной системы, сочетающей рациональное использование природного, культурно-исторического потенциала с развитием туристской инфраструктуры южных районов.  </w:t>
      </w:r>
    </w:p>
    <w:p w14:paraId="2032F499"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На территории Каратузского района ведется работа по капитальному ремонту объектов культуры. В 2023 году на территории осуществлялась реализация двух крупных проектов. Так, в конце года был завершен капитальный ремонт здания Межпоселенческой центральной библиотеки им. А. Т. Черкасова, который проводился в рамках краевого проекта «Библиотеки будущего». Каратузскому  району. В 2023 году на капитальный ремонт было потрачено 30 232 550,25, из которых из краевого бюджета выделено – 18 210 751,02, из местного бюджета – 12 021 799,23.</w:t>
      </w:r>
    </w:p>
    <w:p w14:paraId="5DDE546B" w14:textId="77777777" w:rsidR="006B48BF" w:rsidRPr="00B66512" w:rsidRDefault="006B48BF" w:rsidP="006B48BF">
      <w:pPr>
        <w:spacing w:after="0" w:line="240" w:lineRule="auto"/>
        <w:ind w:firstLine="709"/>
        <w:jc w:val="both"/>
        <w:rPr>
          <w:rFonts w:ascii="Times New Roman CYR" w:hAnsi="Times New Roman CYR" w:cs="Times New Roman CYR"/>
          <w:sz w:val="28"/>
          <w:szCs w:val="28"/>
        </w:rPr>
      </w:pPr>
      <w:r w:rsidRPr="00B66512">
        <w:rPr>
          <w:rFonts w:ascii="Times New Roman CYR" w:hAnsi="Times New Roman CYR" w:cs="Times New Roman CYR"/>
          <w:sz w:val="28"/>
          <w:szCs w:val="28"/>
        </w:rPr>
        <w:t>Ремонт Моторского СДК ведется в рамках краевой субсидии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Министерством культуры Красноярского края на проведение всего выделено 36 359 330,00 рублей. Капитальный ремонт Моторского сельского дома культуры начался в июле 2023 года. Общее количество средств на ремонт Моторского СДК за 2023 год составил 27 682 000,00, из которых из краевого бюджета – 27 405 180,00, исполнено подрядчиком 17 753 456,48. Работы по ремонту Моторского СДК завершатся к концу 2024 года.</w:t>
      </w:r>
    </w:p>
    <w:p w14:paraId="3559679C" w14:textId="77777777" w:rsidR="00E6521C" w:rsidRPr="00B66512" w:rsidRDefault="00E6521C">
      <w:pPr>
        <w:widowControl w:val="0"/>
        <w:autoSpaceDE w:val="0"/>
        <w:autoSpaceDN w:val="0"/>
        <w:adjustRightInd w:val="0"/>
        <w:spacing w:after="0" w:line="240" w:lineRule="auto"/>
        <w:rPr>
          <w:rFonts w:ascii="Times New Roman CYR" w:hAnsi="Times New Roman CYR" w:cs="Times New Roman CYR"/>
          <w:sz w:val="28"/>
          <w:szCs w:val="28"/>
        </w:rPr>
      </w:pPr>
    </w:p>
    <w:p w14:paraId="41E8A43D" w14:textId="77777777" w:rsidR="001E243E" w:rsidRPr="00B66512" w:rsidRDefault="001E243E">
      <w:pPr>
        <w:widowControl w:val="0"/>
        <w:autoSpaceDE w:val="0"/>
        <w:autoSpaceDN w:val="0"/>
        <w:adjustRightInd w:val="0"/>
        <w:spacing w:after="0" w:line="240" w:lineRule="auto"/>
        <w:rPr>
          <w:rFonts w:ascii="Times New Roman CYR" w:hAnsi="Times New Roman CYR" w:cs="Times New Roman CYR"/>
          <w:color w:val="000000"/>
          <w:sz w:val="12"/>
          <w:szCs w:val="12"/>
        </w:rPr>
      </w:pPr>
    </w:p>
    <w:p w14:paraId="14F18677" w14:textId="77777777" w:rsidR="00A1601E" w:rsidRPr="00B66512" w:rsidRDefault="008343F5">
      <w:pPr>
        <w:widowControl w:val="0"/>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sidR="00A1601E" w:rsidRPr="00B66512">
        <w:rPr>
          <w:rFonts w:ascii="Times New Roman CYR" w:hAnsi="Times New Roman CYR" w:cs="Times New Roman CYR"/>
          <w:b/>
          <w:bCs/>
          <w:color w:val="000000"/>
          <w:sz w:val="28"/>
          <w:szCs w:val="28"/>
        </w:rPr>
        <w:t>8. Физическая культура и спорт</w:t>
      </w:r>
    </w:p>
    <w:p w14:paraId="10C02F97" w14:textId="77777777" w:rsidR="00730156" w:rsidRPr="00B66512" w:rsidRDefault="00730156">
      <w:pPr>
        <w:widowControl w:val="0"/>
        <w:autoSpaceDE w:val="0"/>
        <w:autoSpaceDN w:val="0"/>
        <w:adjustRightInd w:val="0"/>
        <w:spacing w:after="0" w:line="240" w:lineRule="auto"/>
        <w:rPr>
          <w:rFonts w:ascii="Times New Roman CYR" w:hAnsi="Times New Roman CYR" w:cs="Times New Roman CYR"/>
          <w:color w:val="000000"/>
          <w:sz w:val="28"/>
          <w:szCs w:val="12"/>
        </w:rPr>
      </w:pPr>
    </w:p>
    <w:p w14:paraId="37EE7BB6"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xml:space="preserve">На 1 января 2024 года в районе имеется 50 спортивных сооружений: действует 18 спортивных залов, в том числе 17 сельских физкультурно-спортивных клубов и 1 спортивная школа, 32 плоскостных сооружения. </w:t>
      </w:r>
    </w:p>
    <w:p w14:paraId="530CD660"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В 2023 году количество проведенных физкультурных и спортивных мероприятий муниципального уровня – 100, по сравнению с 2022 годом количество мероприятий увеличилось на 5, в связи с добавление мероприятий в календарный план.</w:t>
      </w:r>
    </w:p>
    <w:p w14:paraId="2E88F1E0"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xml:space="preserve">По итогам 2023 года численность населения систематически занимающегося физкультурой и спортом на конец периода – 5917 человек, по сравнению с прошлым 2022 годом темп роста составил 0,8%. По оценке 2024 года ожидается рост на 10% и численность населения систематически </w:t>
      </w:r>
      <w:r w:rsidRPr="00B66512">
        <w:rPr>
          <w:rFonts w:ascii="Times New Roman" w:hAnsi="Times New Roman"/>
          <w:sz w:val="28"/>
          <w:szCs w:val="28"/>
        </w:rPr>
        <w:lastRenderedPageBreak/>
        <w:t xml:space="preserve">занимающегося физкультурой и спортом составит 6508 человек. На прогнозный период 2025-2027 гг. наблюдается положительная динамика и в 2027 году численность населения систематически занимающегося физкультурой и спортом составит 7973 человек, что выше 2023 года на 34,7%. </w:t>
      </w:r>
    </w:p>
    <w:p w14:paraId="56B3DF69"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В 2023 году наблюдается динамика показателей:</w:t>
      </w:r>
    </w:p>
    <w:p w14:paraId="4D8EB275"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- 98,80 % доля детей и молодежи в возрасте 3-29 лет, систематически занимающихся физической культурой и спортом или 4187 человек</w:t>
      </w:r>
    </w:p>
    <w:p w14:paraId="7661213F"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- 28,17 % доля граждан среднего возраста (женщины в возрасте 30-54 лет, мужчины в возрасте 30-59 лет), систематически занимающихся физической культурой и спортом или 1259 человек</w:t>
      </w:r>
    </w:p>
    <w:p w14:paraId="07455990"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- 12,53 % доля граждан старшего возраста (женщины в возрасте 55-79 лет, мужчины в возрасте 60-79 лет), систематически занимающихся физической культурой и спортом или 471 человек.</w:t>
      </w:r>
    </w:p>
    <w:p w14:paraId="0A899D8B"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По оценке 2024 года ожидаются значения показателей по всем возрастным группам:</w:t>
      </w:r>
    </w:p>
    <w:p w14:paraId="5C6D81C3"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- 98,10 % доля детей и молодежи в возрасте 3-29 лет, систематически занимающихся физической культурой и спортом или 4157 человек.</w:t>
      </w:r>
    </w:p>
    <w:p w14:paraId="7017EC61"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- 37,07% доля граждан среднего возраста (женщины в возрасте 30-54 лет, мужчины в возрасте 30-59 лет), систематически занимающихся физической культурой и спортом или 1656 человек.</w:t>
      </w:r>
    </w:p>
    <w:p w14:paraId="60D43D92"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- 17,5 % доля граждан старшего возраста (женщины в возрасте 55-79 лет, мужчины в возрасте 60-79 лет), систематически занимающихся физической культурой и спортом или 695 человек.</w:t>
      </w:r>
    </w:p>
    <w:p w14:paraId="494AFF74"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На прогнозный период 2025-2027 гг. планируется достичь увеличения показателей:</w:t>
      </w:r>
    </w:p>
    <w:p w14:paraId="5D36D0D1"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- 98,24 % доля детей и молодежи в возрасте 3-29 лет, систематически занимающихся физической культурой и спортом или 4163 человек.</w:t>
      </w:r>
    </w:p>
    <w:p w14:paraId="1AF5CD4D"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- 63,18 % доля граждан среднего возраста (женщины в возрасте 30-54 лет, мужчины в возрасте 30-59 лет), систематически занимающихся физической культурой и спортом или 2823 человек.</w:t>
      </w:r>
    </w:p>
    <w:p w14:paraId="62D1C19C" w14:textId="77777777" w:rsidR="000F41B0" w:rsidRPr="00B66512" w:rsidRDefault="000F41B0" w:rsidP="000F41B0">
      <w:pPr>
        <w:spacing w:after="0" w:line="240" w:lineRule="auto"/>
        <w:ind w:firstLine="709"/>
        <w:jc w:val="both"/>
        <w:rPr>
          <w:rFonts w:ascii="Times New Roman" w:hAnsi="Times New Roman"/>
          <w:sz w:val="28"/>
          <w:szCs w:val="28"/>
        </w:rPr>
      </w:pPr>
      <w:r w:rsidRPr="00B66512">
        <w:rPr>
          <w:rFonts w:ascii="Times New Roman" w:hAnsi="Times New Roman"/>
          <w:sz w:val="28"/>
          <w:szCs w:val="28"/>
        </w:rPr>
        <w:t>- 24,4 % доля граждан старшего возраста (женщины в возрасте 55-79 лет, мужчины в возрасте 60-79 лет), систематически занимающихся физической культурой и спортом или 987 человек.</w:t>
      </w:r>
    </w:p>
    <w:p w14:paraId="23FD782F"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6"/>
          <w:szCs w:val="24"/>
        </w:rPr>
      </w:pPr>
    </w:p>
    <w:p w14:paraId="4DF855E0" w14:textId="77777777" w:rsidR="00A1601E" w:rsidRPr="00B66512" w:rsidRDefault="00A22D53">
      <w:pPr>
        <w:widowControl w:val="0"/>
        <w:autoSpaceDE w:val="0"/>
        <w:autoSpaceDN w:val="0"/>
        <w:adjustRightInd w:val="0"/>
        <w:spacing w:after="0" w:line="240" w:lineRule="auto"/>
        <w:rPr>
          <w:rFonts w:ascii="Times New Roman CYR" w:hAnsi="Times New Roman CYR" w:cs="Times New Roman CYR"/>
          <w:color w:val="000000"/>
          <w:sz w:val="12"/>
          <w:szCs w:val="12"/>
        </w:rPr>
      </w:pPr>
      <w:r w:rsidRPr="00B66512">
        <w:rPr>
          <w:rFonts w:ascii="Times New Roman CYR" w:hAnsi="Times New Roman CYR" w:cs="Times New Roman CYR"/>
          <w:b/>
          <w:bCs/>
          <w:color w:val="000000"/>
          <w:sz w:val="28"/>
          <w:szCs w:val="28"/>
        </w:rPr>
        <w:t>19</w:t>
      </w:r>
      <w:r w:rsidR="00A1601E" w:rsidRPr="00B66512">
        <w:rPr>
          <w:rFonts w:ascii="Times New Roman CYR" w:hAnsi="Times New Roman CYR" w:cs="Times New Roman CYR"/>
          <w:b/>
          <w:bCs/>
          <w:color w:val="000000"/>
          <w:sz w:val="28"/>
          <w:szCs w:val="28"/>
        </w:rPr>
        <w:t>. Жилищно-коммунальное хозяйство</w:t>
      </w:r>
    </w:p>
    <w:p w14:paraId="4B03520F"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rPr>
      </w:pPr>
    </w:p>
    <w:p w14:paraId="596FE190"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bookmarkStart w:id="6" w:name="_Toc303155321"/>
      <w:r w:rsidRPr="00B66512">
        <w:rPr>
          <w:rFonts w:ascii="Times New Roman" w:hAnsi="Times New Roman"/>
          <w:snapToGrid w:val="0"/>
          <w:sz w:val="28"/>
          <w:szCs w:val="28"/>
          <w:lang w:eastAsia="en-US"/>
        </w:rPr>
        <w:t>Структура коммунального хозяйства Каратузского района:</w:t>
      </w:r>
    </w:p>
    <w:p w14:paraId="342D4288"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 котельные – 9 ед.</w:t>
      </w:r>
    </w:p>
    <w:p w14:paraId="475E207D"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 тепловые сети – 8,19 км (в двухтрубном исполнении), из них нуждающихся в замене 3,19 км (из них ветхих 3,19 км)</w:t>
      </w:r>
    </w:p>
    <w:p w14:paraId="01114763"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 водозаборные сооружения – 20 ед.</w:t>
      </w:r>
    </w:p>
    <w:p w14:paraId="0EEC4AA1"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 xml:space="preserve">- водопроводные сети – 102,6 км (из них 97,5 км уличной водопроводной </w:t>
      </w:r>
      <w:r w:rsidRPr="00B66512">
        <w:rPr>
          <w:rFonts w:ascii="Times New Roman" w:hAnsi="Times New Roman"/>
          <w:snapToGrid w:val="0"/>
          <w:sz w:val="28"/>
          <w:szCs w:val="28"/>
          <w:lang w:eastAsia="en-US"/>
        </w:rPr>
        <w:lastRenderedPageBreak/>
        <w:t xml:space="preserve">сети), из них ветхие 62,4 км (из них 62,0 км уличной водопроводной сети). </w:t>
      </w:r>
    </w:p>
    <w:p w14:paraId="19F7B5AB"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На территории района действует 3 предприятия коммунального комплекса: ООО «Каратузский ТВК», ПАО «Красноярсэнергосбыт» и муниципальное унитарное предприятие города Минусинска «Минусинское городское хозяйство». 2 организации из указанных (ООО «Каратузский ТВК и ПАО «Красноярсэнергосбыт») являются частными предприятиями, а муниципальное унитарное предприятие города Минусинска «Минусинское городское хозяйство» - муниципальным т.е. доля организаций коммунального комплекса,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Каратузского района, на конец отчетного года составляет 66,67%.</w:t>
      </w:r>
    </w:p>
    <w:p w14:paraId="4F01226C"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 xml:space="preserve">ООО «Каратузский ТВК» оказывает услуги по тепло-, водоснабжению и водоотведению, ПАО «Красноярскэнергосбыт» оказывает услуги по электроснабжению, а МУП города Минусинск «Минусинское городское хозяйство» осуществляет деятельность по оказанию услуг в области обращения с твердыми коммунальными отходами. </w:t>
      </w:r>
    </w:p>
    <w:p w14:paraId="79925B64"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 xml:space="preserve">Сумма доходов от оказания жилищно-коммунальных услуг населению в 2023 году составила 115 296,5 тыс. рублей, а в 2022 году составляла 100 160,2 тыс. рублей. </w:t>
      </w:r>
    </w:p>
    <w:p w14:paraId="7EC8FEDD"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Оценка 2024 года – увеличение суммы доходов от оказания жилищно-коммунальных услуг населению на 10 030,80 тыс. рублей или на 8,7% к 2023 году. Прогноз на 2025 год – увеличение доходов на 9 650,20 тыс. рублей, темп роста 107,7% к 2024 году, в 2026 году – на 6 478,92 тыс. рублей, темп роста 104,8% к 2025 году, в 2027 году – на 5 658,25 тыс. рублей, темп роста 104,0% к 2026 году.</w:t>
      </w:r>
    </w:p>
    <w:p w14:paraId="7FE66815"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Уровень износа объектов коммунальной инфраструктуры в 2023 году составил 50,5%.</w:t>
      </w:r>
    </w:p>
    <w:p w14:paraId="4533DAF3"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napToGrid w:val="0"/>
          <w:sz w:val="28"/>
          <w:szCs w:val="28"/>
          <w:lang w:eastAsia="en-US"/>
        </w:rPr>
        <w:t>В 2023 году в рамках реализации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проведены работы по капитальному ремонту 0,996 км водопроводных сетей, 1 водозаборного сооружения. Силами предприятия ООО «Каратузский ТВК» произведена замена 2 водогрейных котлов в котельной.</w:t>
      </w:r>
    </w:p>
    <w:p w14:paraId="716376B7"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В 2024 году в рамках реализации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планируется проведение капитального ремонта 1,93 км водопроводных сетей, 1 водозаборного сооружения. Силами предприятия ООО «Каратузский ТВК» планируется проведение замены 1 водогрейного котла в котельной, капитальный ремонт 85 метров водопровода.</w:t>
      </w:r>
    </w:p>
    <w:p w14:paraId="0FCE2D8A"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lastRenderedPageBreak/>
        <w:t xml:space="preserve">Жилищный фонд Каратузского района: </w:t>
      </w:r>
    </w:p>
    <w:p w14:paraId="73B5BFB3"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Общая площадь жилищного фонда составляет 383,580 тыс. кв. метров, в том числе в индивидуальных жилых домах 217,69 тыс. кв. метров, в многоквартирных домах 15,4 тыс. кв. м и домах блокированной застройки 149,55 тыс. кв. метров.</w:t>
      </w:r>
    </w:p>
    <w:p w14:paraId="1E883B8D"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На территории района осуществляет свою деятельность одна управляющая компания ООО «Каратузский ТВК», на обслуживании которой находится 23 многоквартирных дома.</w:t>
      </w:r>
    </w:p>
    <w:p w14:paraId="6B615E12"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Общая площадь жилищного фонда в 2023 году по отношению к 2022 году уменьшилась на 0,42% и составила 383,580 тыс. кв. м. Оценка 2024 года – увеличение общей площади жилищного фонда на 2,5 тыс. кв. м., темп роста 100,65% к 2023 году. Прогноз на 2025 год – увеличение общей площади жилищного фонда на 2,5 тыс. кв. м., темп роста 100,65% к 2024 году, в 2026 году – увеличение на 2,5 тыс. кв. м., темп роста 100,64% к 2025 году, в 2027 году – увеличение на 2,5тыс. кв. м., темп роста 100,64% к 2026 году.</w:t>
      </w:r>
    </w:p>
    <w:p w14:paraId="1162CE2E"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По состоянию на 01.01.2024 года на территории Каратузского района находится 27 многоквартирных домов, из них 17 домов расположены на земельных участках, в отношении которых осуществлен государственный кадастровый учет, что составляет 62,96%.</w:t>
      </w:r>
    </w:p>
    <w:p w14:paraId="168C7515" w14:textId="77777777" w:rsidR="000403A6" w:rsidRPr="00B66512" w:rsidRDefault="000403A6" w:rsidP="000403A6">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B66512">
        <w:rPr>
          <w:rFonts w:ascii="Times New Roman CYR" w:hAnsi="Times New Roman CYR" w:cs="Times New Roman CYR"/>
          <w:sz w:val="28"/>
          <w:szCs w:val="28"/>
          <w:u w:color="FF0000"/>
        </w:rPr>
        <w:t>В 2023 году проведены работы по формированию земельных участков под 10 многоквартирными домами. Постановка на государственный кадастровый учет данных земельных участков планируется в 2024 году.</w:t>
      </w:r>
    </w:p>
    <w:p w14:paraId="25746D37"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 xml:space="preserve">В 2023 году строительство муниципальных домов по краевым и муниципальным программам на территории Каратузского района не осуществлялось. </w:t>
      </w:r>
    </w:p>
    <w:p w14:paraId="7E8E8E80" w14:textId="77777777" w:rsidR="000403A6" w:rsidRPr="00B66512" w:rsidRDefault="000403A6" w:rsidP="000403A6">
      <w:pPr>
        <w:widowControl w:val="0"/>
        <w:autoSpaceDE w:val="0"/>
        <w:autoSpaceDN w:val="0"/>
        <w:adjustRightInd w:val="0"/>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В прогнозном периоде планируется обеспечение семей, нуждающихся в жилых помещениях, посредством участия в государственных программах, предусматривающих мероприятия по строительству либо приобретению жилья для различных категорий граждан.</w:t>
      </w:r>
    </w:p>
    <w:bookmarkEnd w:id="6"/>
    <w:p w14:paraId="3DFDB531" w14:textId="77777777" w:rsidR="000403A6" w:rsidRPr="00B66512" w:rsidRDefault="000403A6" w:rsidP="000403A6">
      <w:pPr>
        <w:spacing w:after="0" w:line="240" w:lineRule="auto"/>
        <w:ind w:firstLine="709"/>
        <w:jc w:val="both"/>
        <w:rPr>
          <w:rFonts w:ascii="Times New Roman" w:hAnsi="Times New Roman"/>
          <w:snapToGrid w:val="0"/>
          <w:sz w:val="28"/>
          <w:szCs w:val="28"/>
          <w:lang w:eastAsia="en-US"/>
        </w:rPr>
      </w:pPr>
      <w:r w:rsidRPr="00B66512">
        <w:rPr>
          <w:rFonts w:ascii="Times New Roman" w:hAnsi="Times New Roman"/>
          <w:snapToGrid w:val="0"/>
          <w:sz w:val="28"/>
          <w:szCs w:val="28"/>
          <w:lang w:eastAsia="en-US"/>
        </w:rPr>
        <w:t>В соответствии с краткосрочным планом проведения капитального ремонта общего имущества многоквартирных домов на период на 2023-2025 годы капитальные ремонты запланированы на 2025 год.</w:t>
      </w:r>
    </w:p>
    <w:p w14:paraId="491CF9D5" w14:textId="77777777" w:rsidR="00B731E8" w:rsidRPr="00B66512" w:rsidRDefault="00B731E8">
      <w:pPr>
        <w:widowControl w:val="0"/>
        <w:autoSpaceDE w:val="0"/>
        <w:autoSpaceDN w:val="0"/>
        <w:adjustRightInd w:val="0"/>
        <w:spacing w:after="0" w:line="240" w:lineRule="auto"/>
        <w:rPr>
          <w:rFonts w:ascii="Times New Roman CYR" w:hAnsi="Times New Roman CYR" w:cs="Times New Roman CYR"/>
          <w:sz w:val="28"/>
          <w:szCs w:val="24"/>
        </w:rPr>
      </w:pPr>
    </w:p>
    <w:p w14:paraId="77A942D5"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14:paraId="3375D925" w14:textId="77777777" w:rsidR="00A1601E" w:rsidRPr="00B66512" w:rsidRDefault="008343F5">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20</w:t>
      </w:r>
      <w:r w:rsidR="00A1601E" w:rsidRPr="00B66512">
        <w:rPr>
          <w:rFonts w:ascii="Times New Roman CYR" w:hAnsi="Times New Roman CYR" w:cs="Times New Roman CYR"/>
          <w:b/>
          <w:bCs/>
          <w:color w:val="000000"/>
          <w:sz w:val="28"/>
          <w:szCs w:val="28"/>
          <w:u w:color="FF0000"/>
        </w:rPr>
        <w:t>. Экология</w:t>
      </w:r>
    </w:p>
    <w:p w14:paraId="4B182C58" w14:textId="77777777" w:rsidR="00A1601E" w:rsidRPr="00B66512" w:rsidRDefault="00A1601E">
      <w:pPr>
        <w:widowControl w:val="0"/>
        <w:autoSpaceDE w:val="0"/>
        <w:autoSpaceDN w:val="0"/>
        <w:adjustRightInd w:val="0"/>
        <w:spacing w:after="0" w:line="240" w:lineRule="auto"/>
        <w:rPr>
          <w:rFonts w:ascii="Times New Roman CYR" w:hAnsi="Times New Roman CYR" w:cs="Times New Roman CYR"/>
          <w:sz w:val="28"/>
          <w:szCs w:val="24"/>
          <w:u w:color="FF0000"/>
        </w:rPr>
      </w:pPr>
    </w:p>
    <w:p w14:paraId="796A05E1"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В Каратузском районе имеется семь гидротехнических сооружений:</w:t>
      </w:r>
    </w:p>
    <w:p w14:paraId="737087BD"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1. Защитная дамба с. Верхний Кужебар – собственность субъекта Российской Федерации.</w:t>
      </w:r>
    </w:p>
    <w:p w14:paraId="3F14595E"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2. Защитное сооружение от затопления водами реки Амыл и ручья Ширыштык в с. Ширыштык – собственность администрации Амыльского сельсовета</w:t>
      </w:r>
    </w:p>
    <w:p w14:paraId="0AB540CC"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lastRenderedPageBreak/>
        <w:t>3. ГТС на пруду «Таскинский»  в с. Таскино Каратузского района – собственность Таскинского сельсовета. Оформлен в 2012 году.</w:t>
      </w:r>
    </w:p>
    <w:p w14:paraId="668376D2"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4. Пруд «Верхний Черемушинский» на реке Черемушка в с.Черемушка Каратузского района – собственность Черемушинского сельсовета. Оформлен в 2011 году.</w:t>
      </w:r>
    </w:p>
    <w:p w14:paraId="5C7256A4"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5. Пруд «Шишковский» у деревни Старомолино Каратузского района – собственность Черемушинского сельсовета. Оформлен в 2011 году.</w:t>
      </w:r>
    </w:p>
    <w:p w14:paraId="2972B130"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6. Пруд «Пятилетский» у деревни Старомолино Каратузского района – собственность Черемушинского сельсовета. Оформлен в 2011 году.</w:t>
      </w:r>
    </w:p>
    <w:p w14:paraId="30044F96"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7. Пруд и плотина «Сагайский» на реке Каратюга в с. Сагайское – собственность администрации Сагайского сельсовета</w:t>
      </w:r>
    </w:p>
    <w:p w14:paraId="306DFC78"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Водопользование:</w:t>
      </w:r>
    </w:p>
    <w:p w14:paraId="067B4C4F"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 xml:space="preserve">Для составления мониторинга СЭР использовались сведения Енисейского бассейнового водного управления Федерального агентства водных ресурсов и общества с ограниченной ответственностью Каратузского Тепло Водо Канала, составленные по данным федерального статистического наблюдения  формы № 2-ТП (водхоз) «Сведения об использовании воды за 2023 год». </w:t>
      </w:r>
    </w:p>
    <w:p w14:paraId="432B1577"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Выбросы в атмосферный воздух.</w:t>
      </w:r>
    </w:p>
    <w:p w14:paraId="66E35ADB"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Объем загрязняющих веществ, отходящих от стационарных источников загрязнения атмосферного воздуха в 2023 году по отношению к 2022 году, снизился на 22,68% и составил 242,0 т. По оценке 2024 года и на прогнозируемый период 2025-2027 гг. не планируется увеличение объема загрязняющих веществ, отходящих от стационарных источников загрязнения атмосферного воздух.</w:t>
      </w:r>
    </w:p>
    <w:p w14:paraId="3B218197" w14:textId="77777777" w:rsidR="00E7063C" w:rsidRPr="00B66512"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На территории Каратузского района мест массового захоронения химических, взрывчатых, токсических, отравляющих и других веществ нет. Имеются места массового захоронения отходов производства и потребления и скотомогильники.</w:t>
      </w:r>
    </w:p>
    <w:p w14:paraId="0F754544"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sz w:val="28"/>
          <w:szCs w:val="28"/>
        </w:rPr>
      </w:pPr>
      <w:r w:rsidRPr="00B66512">
        <w:rPr>
          <w:rFonts w:ascii="Times New Roman" w:hAnsi="Times New Roman"/>
          <w:sz w:val="28"/>
          <w:szCs w:val="28"/>
        </w:rPr>
        <w:t>Полигон твердых бытовых отходов в с. Каратузское расположен в 1,5 км  юго-западнее с. Каратузское.  Предназначен для захоронения твердых бытовых</w:t>
      </w:r>
      <w:r w:rsidRPr="00E7063C">
        <w:rPr>
          <w:rFonts w:ascii="Times New Roman" w:hAnsi="Times New Roman"/>
          <w:sz w:val="28"/>
          <w:szCs w:val="28"/>
        </w:rPr>
        <w:t xml:space="preserve"> отходов, доставляемых от жилых домов, общественных зданий, предприятий торговли, общественного питания, строительного мусора. </w:t>
      </w:r>
    </w:p>
    <w:p w14:paraId="20EEF927"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sz w:val="28"/>
          <w:szCs w:val="28"/>
        </w:rPr>
      </w:pPr>
      <w:r w:rsidRPr="00E7063C">
        <w:rPr>
          <w:rFonts w:ascii="Times New Roman" w:hAnsi="Times New Roman"/>
          <w:sz w:val="28"/>
          <w:szCs w:val="28"/>
        </w:rPr>
        <w:t xml:space="preserve">Среднегодовое поступление ТБО составляет согласно выполненным расчётам 1121,96 м. куб в год. Расчетный срок эксплуатации полигона – 24 года, площадь полигона - 2,08 га. Схема складирования предусматривает устройство 3-х котлованов объёмом 1688 т. Каждый рассчитан на срок эксплуатации по 8 лет. Полигон построен в 2009 году, но в настоящее время не эксплуатируется.  </w:t>
      </w:r>
    </w:p>
    <w:p w14:paraId="0AD91088"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sz w:val="28"/>
          <w:szCs w:val="28"/>
        </w:rPr>
      </w:pPr>
      <w:r w:rsidRPr="00E7063C">
        <w:rPr>
          <w:rFonts w:ascii="Times New Roman" w:hAnsi="Times New Roman"/>
          <w:sz w:val="28"/>
          <w:szCs w:val="28"/>
        </w:rPr>
        <w:t xml:space="preserve">Во исполнение указания министерства экологии и рационального природопользования Красноярского края в управление Росприроднадзора по Красноярскому краю в 2019 году направлена информация для внесения в Государственный реестр объектов размещения отходов (далее – ГРОРО) полигона ТБО, построенного в с. Каратузское. Однако в регистрации </w:t>
      </w:r>
      <w:r w:rsidRPr="00E7063C">
        <w:rPr>
          <w:rFonts w:ascii="Times New Roman" w:hAnsi="Times New Roman"/>
          <w:sz w:val="28"/>
          <w:szCs w:val="28"/>
        </w:rPr>
        <w:lastRenderedPageBreak/>
        <w:t>указанного объекта размещения отходов в ГРОРО отказано, по причине отсутствия положительного заключения государственной экологической экспертизы и отсутствия эксплуатирующей организации.</w:t>
      </w:r>
    </w:p>
    <w:p w14:paraId="445BF032"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sz w:val="28"/>
          <w:szCs w:val="28"/>
        </w:rPr>
      </w:pPr>
      <w:r w:rsidRPr="00E7063C">
        <w:rPr>
          <w:rFonts w:ascii="Times New Roman" w:hAnsi="Times New Roman"/>
          <w:sz w:val="28"/>
          <w:szCs w:val="28"/>
        </w:rPr>
        <w:t>Скотомогильники.</w:t>
      </w:r>
    </w:p>
    <w:p w14:paraId="161A9040"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sz w:val="28"/>
          <w:szCs w:val="28"/>
        </w:rPr>
      </w:pPr>
      <w:r w:rsidRPr="00E7063C">
        <w:rPr>
          <w:rFonts w:ascii="Times New Roman" w:hAnsi="Times New Roman"/>
          <w:sz w:val="28"/>
          <w:szCs w:val="28"/>
        </w:rPr>
        <w:t>На территории района расположено 2 скотомогильника:</w:t>
      </w:r>
    </w:p>
    <w:p w14:paraId="141C91D0"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sz w:val="28"/>
          <w:szCs w:val="28"/>
        </w:rPr>
      </w:pPr>
      <w:r w:rsidRPr="00E7063C">
        <w:rPr>
          <w:rFonts w:ascii="Times New Roman" w:hAnsi="Times New Roman"/>
          <w:sz w:val="28"/>
          <w:szCs w:val="28"/>
        </w:rPr>
        <w:t>- в с. Каратузское в 1 км от населенного пункта, введен в эксплуатацию в 2009 году, разрешительная документация имеется, эксплуатируется в соответствии с экологическими, строительными и санитарными нормами и правилами, заполненность 40%. Площадь объекта захоронения биотермической ямы – 0,06 га, мощность объекта захоронения биотермической ямы – 18 т.</w:t>
      </w:r>
    </w:p>
    <w:p w14:paraId="271292A2"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sz w:val="28"/>
          <w:szCs w:val="28"/>
        </w:rPr>
      </w:pPr>
      <w:r w:rsidRPr="00E7063C">
        <w:rPr>
          <w:rFonts w:ascii="Times New Roman" w:hAnsi="Times New Roman"/>
          <w:sz w:val="28"/>
          <w:szCs w:val="28"/>
        </w:rPr>
        <w:t>- в д. Верхний Суэтук функционирует с 2007 года, разрешительная документация имеется, заполненность  30%;</w:t>
      </w:r>
    </w:p>
    <w:p w14:paraId="0E9021ED" w14:textId="77777777" w:rsidR="00E7063C" w:rsidRPr="008343F5" w:rsidRDefault="00E7063C" w:rsidP="00E7063C">
      <w:pPr>
        <w:autoSpaceDE w:val="0"/>
        <w:autoSpaceDN w:val="0"/>
        <w:adjustRightInd w:val="0"/>
        <w:spacing w:after="0" w:line="240" w:lineRule="auto"/>
        <w:ind w:firstLine="709"/>
        <w:jc w:val="both"/>
        <w:rPr>
          <w:rFonts w:ascii="Times New Roman" w:hAnsi="Times New Roman"/>
          <w:sz w:val="28"/>
          <w:szCs w:val="28"/>
        </w:rPr>
      </w:pPr>
      <w:r w:rsidRPr="00E7063C">
        <w:rPr>
          <w:rFonts w:ascii="Times New Roman" w:hAnsi="Times New Roman"/>
          <w:sz w:val="28"/>
          <w:szCs w:val="28"/>
        </w:rPr>
        <w:t xml:space="preserve">Информация представлена на основании проверки, проведенной КГУ </w:t>
      </w:r>
      <w:r w:rsidRPr="008343F5">
        <w:rPr>
          <w:rFonts w:ascii="Times New Roman" w:hAnsi="Times New Roman"/>
          <w:sz w:val="28"/>
          <w:szCs w:val="28"/>
        </w:rPr>
        <w:t>«Каратузский отдел ветеринарии» проведенной в 2017 году.</w:t>
      </w:r>
    </w:p>
    <w:p w14:paraId="4A72491A"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sz w:val="28"/>
          <w:szCs w:val="28"/>
        </w:rPr>
      </w:pPr>
      <w:r w:rsidRPr="008343F5">
        <w:rPr>
          <w:rFonts w:ascii="Times New Roman" w:hAnsi="Times New Roman"/>
          <w:sz w:val="28"/>
          <w:szCs w:val="28"/>
        </w:rPr>
        <w:t>Организации на территории Каратузского района, использующие отходы в качестве вторичных материальных ресурсов, отсутствуют. Из территории Каратузского района отходы вывозит региональный оператор на территорию Минусинского рай</w:t>
      </w:r>
      <w:r w:rsidR="008343F5" w:rsidRPr="008343F5">
        <w:rPr>
          <w:rFonts w:ascii="Times New Roman" w:hAnsi="Times New Roman"/>
          <w:sz w:val="28"/>
          <w:szCs w:val="28"/>
        </w:rPr>
        <w:t>она, где и происходит рециклинг</w:t>
      </w:r>
      <w:r w:rsidRPr="008343F5">
        <w:rPr>
          <w:rFonts w:ascii="Times New Roman" w:hAnsi="Times New Roman"/>
          <w:sz w:val="28"/>
          <w:szCs w:val="28"/>
        </w:rPr>
        <w:t>.</w:t>
      </w:r>
    </w:p>
    <w:p w14:paraId="1D6B59A4" w14:textId="77777777" w:rsidR="00E7063C" w:rsidRPr="00E7063C" w:rsidRDefault="00E7063C" w:rsidP="00E7063C">
      <w:pPr>
        <w:autoSpaceDE w:val="0"/>
        <w:autoSpaceDN w:val="0"/>
        <w:adjustRightInd w:val="0"/>
        <w:spacing w:after="0" w:line="240" w:lineRule="auto"/>
        <w:jc w:val="both"/>
        <w:rPr>
          <w:rFonts w:ascii="Times New Roman" w:hAnsi="Times New Roman"/>
          <w:sz w:val="28"/>
          <w:szCs w:val="28"/>
        </w:rPr>
      </w:pPr>
    </w:p>
    <w:p w14:paraId="3A5AB156" w14:textId="77777777" w:rsidR="00E7063C" w:rsidRPr="00E7063C" w:rsidRDefault="00E7063C" w:rsidP="00E7063C">
      <w:pPr>
        <w:autoSpaceDE w:val="0"/>
        <w:autoSpaceDN w:val="0"/>
        <w:adjustRightInd w:val="0"/>
        <w:spacing w:after="0" w:line="240" w:lineRule="auto"/>
        <w:ind w:firstLine="709"/>
        <w:jc w:val="both"/>
        <w:rPr>
          <w:rFonts w:ascii="Times New Roman" w:hAnsi="Times New Roman" w:cs="Calibri"/>
          <w:sz w:val="24"/>
          <w:szCs w:val="24"/>
        </w:rPr>
      </w:pPr>
    </w:p>
    <w:p w14:paraId="4451F207" w14:textId="77777777" w:rsidR="00A1601E" w:rsidRDefault="00A1601E">
      <w:pPr>
        <w:widowControl w:val="0"/>
        <w:autoSpaceDE w:val="0"/>
        <w:autoSpaceDN w:val="0"/>
        <w:adjustRightInd w:val="0"/>
        <w:spacing w:after="0" w:line="240" w:lineRule="auto"/>
        <w:rPr>
          <w:rFonts w:ascii="Times New Roman CYR" w:hAnsi="Times New Roman CYR" w:cs="Times New Roman CYR"/>
          <w:sz w:val="24"/>
          <w:szCs w:val="24"/>
          <w:u w:color="FF0000"/>
        </w:rPr>
      </w:pPr>
    </w:p>
    <w:sectPr w:rsidR="00A1601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FFFFFFFF">
      <w:start w:val="1"/>
      <w:numFmt w:val="decimal"/>
      <w:lvlText w:val="%1."/>
      <w:lvlJc w:val="left"/>
      <w:pPr>
        <w:tabs>
          <w:tab w:val="num" w:pos="0"/>
        </w:tabs>
      </w:pPr>
      <w:rPr>
        <w:rFonts w:cs="Times New Roman"/>
      </w:rPr>
    </w:lvl>
    <w:lvl w:ilvl="1" w:tplc="FFFFFFFF">
      <w:start w:val="1"/>
      <w:numFmt w:val="decimal"/>
      <w:lvlText w:val="%2."/>
      <w:lvlJc w:val="left"/>
      <w:pPr>
        <w:tabs>
          <w:tab w:val="num" w:pos="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0C44DB"/>
    <w:multiLevelType w:val="singleLevel"/>
    <w:tmpl w:val="FFFFFFFF"/>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CA42CE3"/>
    <w:multiLevelType w:val="singleLevel"/>
    <w:tmpl w:val="FFFFFFFF"/>
    <w:lvl w:ilvl="0">
      <w:start w:val="1"/>
      <w:numFmt w:val="decimal"/>
      <w:lvlText w:val="%1."/>
      <w:legacy w:legacy="1" w:legacySpace="0" w:legacyIndent="0"/>
      <w:lvlJc w:val="left"/>
      <w:rPr>
        <w:rFonts w:ascii="Times New Roman CYR" w:hAnsi="Times New Roman CYR" w:cs="Times New Roman CYR" w:hint="default"/>
      </w:rPr>
    </w:lvl>
  </w:abstractNum>
  <w:abstractNum w:abstractNumId="3" w15:restartNumberingAfterBreak="0">
    <w:nsid w:val="1E561199"/>
    <w:multiLevelType w:val="hybridMultilevel"/>
    <w:tmpl w:val="FFFFFFFF"/>
    <w:lvl w:ilvl="0" w:tplc="04190001">
      <w:start w:val="1"/>
      <w:numFmt w:val="bullet"/>
      <w:lvlText w:val=""/>
      <w:lvlJc w:val="left"/>
      <w:pPr>
        <w:ind w:left="2553" w:hanging="360"/>
      </w:pPr>
      <w:rPr>
        <w:rFonts w:ascii="Symbol" w:hAnsi="Symbol" w:hint="default"/>
      </w:rPr>
    </w:lvl>
    <w:lvl w:ilvl="1" w:tplc="04190003" w:tentative="1">
      <w:start w:val="1"/>
      <w:numFmt w:val="bullet"/>
      <w:lvlText w:val="o"/>
      <w:lvlJc w:val="left"/>
      <w:pPr>
        <w:ind w:left="3273" w:hanging="360"/>
      </w:pPr>
      <w:rPr>
        <w:rFonts w:ascii="Courier New" w:hAnsi="Courier New" w:hint="default"/>
      </w:rPr>
    </w:lvl>
    <w:lvl w:ilvl="2" w:tplc="04190005" w:tentative="1">
      <w:start w:val="1"/>
      <w:numFmt w:val="bullet"/>
      <w:lvlText w:val=""/>
      <w:lvlJc w:val="left"/>
      <w:pPr>
        <w:ind w:left="3993" w:hanging="360"/>
      </w:pPr>
      <w:rPr>
        <w:rFonts w:ascii="Wingdings" w:hAnsi="Wingdings" w:hint="default"/>
      </w:rPr>
    </w:lvl>
    <w:lvl w:ilvl="3" w:tplc="04190001" w:tentative="1">
      <w:start w:val="1"/>
      <w:numFmt w:val="bullet"/>
      <w:lvlText w:val=""/>
      <w:lvlJc w:val="left"/>
      <w:pPr>
        <w:ind w:left="4713" w:hanging="360"/>
      </w:pPr>
      <w:rPr>
        <w:rFonts w:ascii="Symbol" w:hAnsi="Symbol" w:hint="default"/>
      </w:rPr>
    </w:lvl>
    <w:lvl w:ilvl="4" w:tplc="04190003" w:tentative="1">
      <w:start w:val="1"/>
      <w:numFmt w:val="bullet"/>
      <w:lvlText w:val="o"/>
      <w:lvlJc w:val="left"/>
      <w:pPr>
        <w:ind w:left="5433" w:hanging="360"/>
      </w:pPr>
      <w:rPr>
        <w:rFonts w:ascii="Courier New" w:hAnsi="Courier New" w:hint="default"/>
      </w:rPr>
    </w:lvl>
    <w:lvl w:ilvl="5" w:tplc="04190005" w:tentative="1">
      <w:start w:val="1"/>
      <w:numFmt w:val="bullet"/>
      <w:lvlText w:val=""/>
      <w:lvlJc w:val="left"/>
      <w:pPr>
        <w:ind w:left="6153" w:hanging="360"/>
      </w:pPr>
      <w:rPr>
        <w:rFonts w:ascii="Wingdings" w:hAnsi="Wingdings" w:hint="default"/>
      </w:rPr>
    </w:lvl>
    <w:lvl w:ilvl="6" w:tplc="04190001" w:tentative="1">
      <w:start w:val="1"/>
      <w:numFmt w:val="bullet"/>
      <w:lvlText w:val=""/>
      <w:lvlJc w:val="left"/>
      <w:pPr>
        <w:ind w:left="6873" w:hanging="360"/>
      </w:pPr>
      <w:rPr>
        <w:rFonts w:ascii="Symbol" w:hAnsi="Symbol" w:hint="default"/>
      </w:rPr>
    </w:lvl>
    <w:lvl w:ilvl="7" w:tplc="04190003" w:tentative="1">
      <w:start w:val="1"/>
      <w:numFmt w:val="bullet"/>
      <w:lvlText w:val="o"/>
      <w:lvlJc w:val="left"/>
      <w:pPr>
        <w:ind w:left="7593" w:hanging="360"/>
      </w:pPr>
      <w:rPr>
        <w:rFonts w:ascii="Courier New" w:hAnsi="Courier New" w:hint="default"/>
      </w:rPr>
    </w:lvl>
    <w:lvl w:ilvl="8" w:tplc="04190005" w:tentative="1">
      <w:start w:val="1"/>
      <w:numFmt w:val="bullet"/>
      <w:lvlText w:val=""/>
      <w:lvlJc w:val="left"/>
      <w:pPr>
        <w:ind w:left="8313" w:hanging="360"/>
      </w:pPr>
      <w:rPr>
        <w:rFonts w:ascii="Wingdings" w:hAnsi="Wingdings" w:hint="default"/>
      </w:rPr>
    </w:lvl>
  </w:abstractNum>
  <w:abstractNum w:abstractNumId="4" w15:restartNumberingAfterBreak="0">
    <w:nsid w:val="2DD86DC4"/>
    <w:multiLevelType w:val="hybridMultilevel"/>
    <w:tmpl w:val="FFFFFFFF"/>
    <w:lvl w:ilvl="0" w:tplc="D89087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574A05E0"/>
    <w:multiLevelType w:val="singleLevel"/>
    <w:tmpl w:val="FFFFFFFF"/>
    <w:lvl w:ilvl="0">
      <w:start w:val="1"/>
      <w:numFmt w:val="decimal"/>
      <w:lvlText w:val="%1."/>
      <w:legacy w:legacy="1" w:legacySpace="0" w:legacyIndent="540"/>
      <w:lvlJc w:val="left"/>
      <w:rPr>
        <w:rFonts w:ascii="Times New Roman CYR" w:hAnsi="Times New Roman CYR" w:cs="Times New Roman CYR" w:hint="default"/>
      </w:rPr>
    </w:lvl>
  </w:abstractNum>
  <w:abstractNum w:abstractNumId="6" w15:restartNumberingAfterBreak="0">
    <w:nsid w:val="66F33964"/>
    <w:multiLevelType w:val="singleLevel"/>
    <w:tmpl w:val="FFFFFFFF"/>
    <w:lvl w:ilvl="0">
      <w:start w:val="1"/>
      <w:numFmt w:val="decimal"/>
      <w:lvlText w:val="%1."/>
      <w:legacy w:legacy="1" w:legacySpace="0" w:legacyIndent="360"/>
      <w:lvlJc w:val="left"/>
      <w:rPr>
        <w:rFonts w:ascii="Times New Roman CYR" w:hAnsi="Times New Roman CYR" w:cs="Times New Roman CYR" w:hint="default"/>
      </w:rPr>
    </w:lvl>
  </w:abstractNum>
  <w:num w:numId="1" w16cid:durableId="1578323001">
    <w:abstractNumId w:val="0"/>
  </w:num>
  <w:num w:numId="2" w16cid:durableId="1889416126">
    <w:abstractNumId w:val="5"/>
  </w:num>
  <w:num w:numId="3" w16cid:durableId="1036851954">
    <w:abstractNumId w:val="5"/>
    <w:lvlOverride w:ilvl="0">
      <w:lvl w:ilvl="0">
        <w:start w:val="1"/>
        <w:numFmt w:val="decimal"/>
        <w:lvlText w:val="%1."/>
        <w:legacy w:legacy="1" w:legacySpace="0" w:legacyIndent="720"/>
        <w:lvlJc w:val="left"/>
        <w:rPr>
          <w:rFonts w:ascii="Times New Roman CYR" w:hAnsi="Times New Roman CYR" w:cs="Times New Roman CYR" w:hint="default"/>
        </w:rPr>
      </w:lvl>
    </w:lvlOverride>
  </w:num>
  <w:num w:numId="4" w16cid:durableId="1773863497">
    <w:abstractNumId w:val="1"/>
  </w:num>
  <w:num w:numId="5" w16cid:durableId="1385711510">
    <w:abstractNumId w:val="2"/>
  </w:num>
  <w:num w:numId="6" w16cid:durableId="61341740">
    <w:abstractNumId w:val="6"/>
  </w:num>
  <w:num w:numId="7" w16cid:durableId="1195464040">
    <w:abstractNumId w:val="3"/>
  </w:num>
  <w:num w:numId="8" w16cid:durableId="780610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32"/>
    <w:rsid w:val="00004154"/>
    <w:rsid w:val="00007FAF"/>
    <w:rsid w:val="0003330C"/>
    <w:rsid w:val="000403A6"/>
    <w:rsid w:val="000475C8"/>
    <w:rsid w:val="0007071C"/>
    <w:rsid w:val="000A5DEA"/>
    <w:rsid w:val="000F41B0"/>
    <w:rsid w:val="00103998"/>
    <w:rsid w:val="00107170"/>
    <w:rsid w:val="00112E89"/>
    <w:rsid w:val="00114CF5"/>
    <w:rsid w:val="0011583C"/>
    <w:rsid w:val="0012460E"/>
    <w:rsid w:val="00126E30"/>
    <w:rsid w:val="0013287F"/>
    <w:rsid w:val="001439B7"/>
    <w:rsid w:val="00162DA0"/>
    <w:rsid w:val="0016436E"/>
    <w:rsid w:val="00175D6E"/>
    <w:rsid w:val="001848D1"/>
    <w:rsid w:val="001C601C"/>
    <w:rsid w:val="001D4F17"/>
    <w:rsid w:val="001E243E"/>
    <w:rsid w:val="00227F34"/>
    <w:rsid w:val="002307C5"/>
    <w:rsid w:val="00240D0A"/>
    <w:rsid w:val="00246ED2"/>
    <w:rsid w:val="00263F29"/>
    <w:rsid w:val="002916EE"/>
    <w:rsid w:val="002A4054"/>
    <w:rsid w:val="002A6088"/>
    <w:rsid w:val="002B21B1"/>
    <w:rsid w:val="002C1895"/>
    <w:rsid w:val="002E7FC7"/>
    <w:rsid w:val="00303433"/>
    <w:rsid w:val="00313EDF"/>
    <w:rsid w:val="00326EC5"/>
    <w:rsid w:val="00387299"/>
    <w:rsid w:val="003877FF"/>
    <w:rsid w:val="003878A5"/>
    <w:rsid w:val="00391416"/>
    <w:rsid w:val="00394656"/>
    <w:rsid w:val="003A71EC"/>
    <w:rsid w:val="003C2A75"/>
    <w:rsid w:val="003E07D6"/>
    <w:rsid w:val="003E3C90"/>
    <w:rsid w:val="003F53B4"/>
    <w:rsid w:val="003F6542"/>
    <w:rsid w:val="00400185"/>
    <w:rsid w:val="00411DF6"/>
    <w:rsid w:val="00421B8F"/>
    <w:rsid w:val="00434E5B"/>
    <w:rsid w:val="00445D5C"/>
    <w:rsid w:val="0046212D"/>
    <w:rsid w:val="00462380"/>
    <w:rsid w:val="00472A0E"/>
    <w:rsid w:val="00474ABF"/>
    <w:rsid w:val="0049147E"/>
    <w:rsid w:val="00494F76"/>
    <w:rsid w:val="004A7DD8"/>
    <w:rsid w:val="004B625F"/>
    <w:rsid w:val="004B630E"/>
    <w:rsid w:val="004B76AC"/>
    <w:rsid w:val="004D3E6D"/>
    <w:rsid w:val="00500B80"/>
    <w:rsid w:val="00501705"/>
    <w:rsid w:val="00522004"/>
    <w:rsid w:val="00536A6F"/>
    <w:rsid w:val="00557874"/>
    <w:rsid w:val="00573BD2"/>
    <w:rsid w:val="00585D95"/>
    <w:rsid w:val="005D1602"/>
    <w:rsid w:val="005E1FBF"/>
    <w:rsid w:val="005F7D0A"/>
    <w:rsid w:val="00603640"/>
    <w:rsid w:val="006218C8"/>
    <w:rsid w:val="0063002E"/>
    <w:rsid w:val="00643E79"/>
    <w:rsid w:val="0065398A"/>
    <w:rsid w:val="00683041"/>
    <w:rsid w:val="006966DE"/>
    <w:rsid w:val="006A43C9"/>
    <w:rsid w:val="006B48BF"/>
    <w:rsid w:val="006B5E41"/>
    <w:rsid w:val="006D6DBC"/>
    <w:rsid w:val="006F3403"/>
    <w:rsid w:val="007011F4"/>
    <w:rsid w:val="00706797"/>
    <w:rsid w:val="00730156"/>
    <w:rsid w:val="007440E4"/>
    <w:rsid w:val="00797797"/>
    <w:rsid w:val="007A5205"/>
    <w:rsid w:val="007B0C28"/>
    <w:rsid w:val="007D172F"/>
    <w:rsid w:val="007E512F"/>
    <w:rsid w:val="007E60FA"/>
    <w:rsid w:val="007F1518"/>
    <w:rsid w:val="00802492"/>
    <w:rsid w:val="008161D3"/>
    <w:rsid w:val="00830232"/>
    <w:rsid w:val="008322CA"/>
    <w:rsid w:val="00833F39"/>
    <w:rsid w:val="008343F5"/>
    <w:rsid w:val="00840C1D"/>
    <w:rsid w:val="008445AE"/>
    <w:rsid w:val="00853525"/>
    <w:rsid w:val="008648ED"/>
    <w:rsid w:val="00874B29"/>
    <w:rsid w:val="00876A5A"/>
    <w:rsid w:val="00887CD7"/>
    <w:rsid w:val="008A1EB4"/>
    <w:rsid w:val="008A3F89"/>
    <w:rsid w:val="008B2619"/>
    <w:rsid w:val="008B7552"/>
    <w:rsid w:val="008D632D"/>
    <w:rsid w:val="00913970"/>
    <w:rsid w:val="009265F1"/>
    <w:rsid w:val="00933607"/>
    <w:rsid w:val="00936D57"/>
    <w:rsid w:val="009474CF"/>
    <w:rsid w:val="00971E78"/>
    <w:rsid w:val="0098682B"/>
    <w:rsid w:val="00987E91"/>
    <w:rsid w:val="009A5016"/>
    <w:rsid w:val="009D4C1D"/>
    <w:rsid w:val="009E5F2B"/>
    <w:rsid w:val="00A00241"/>
    <w:rsid w:val="00A03004"/>
    <w:rsid w:val="00A12FBA"/>
    <w:rsid w:val="00A1601E"/>
    <w:rsid w:val="00A169BC"/>
    <w:rsid w:val="00A22D53"/>
    <w:rsid w:val="00A235BC"/>
    <w:rsid w:val="00A425D4"/>
    <w:rsid w:val="00A427AB"/>
    <w:rsid w:val="00A44776"/>
    <w:rsid w:val="00A502E4"/>
    <w:rsid w:val="00A51B08"/>
    <w:rsid w:val="00A661DB"/>
    <w:rsid w:val="00AD3244"/>
    <w:rsid w:val="00B01835"/>
    <w:rsid w:val="00B14402"/>
    <w:rsid w:val="00B15A33"/>
    <w:rsid w:val="00B4446E"/>
    <w:rsid w:val="00B66329"/>
    <w:rsid w:val="00B66512"/>
    <w:rsid w:val="00B731E8"/>
    <w:rsid w:val="00B8039B"/>
    <w:rsid w:val="00B846BF"/>
    <w:rsid w:val="00B97742"/>
    <w:rsid w:val="00BC3F34"/>
    <w:rsid w:val="00BE50BB"/>
    <w:rsid w:val="00BF65A8"/>
    <w:rsid w:val="00C147D7"/>
    <w:rsid w:val="00C47E18"/>
    <w:rsid w:val="00C66A10"/>
    <w:rsid w:val="00C72B40"/>
    <w:rsid w:val="00C76506"/>
    <w:rsid w:val="00CB7F44"/>
    <w:rsid w:val="00CC09A9"/>
    <w:rsid w:val="00CC410A"/>
    <w:rsid w:val="00CE43C2"/>
    <w:rsid w:val="00CE6CF1"/>
    <w:rsid w:val="00D069B6"/>
    <w:rsid w:val="00D1239B"/>
    <w:rsid w:val="00D12E68"/>
    <w:rsid w:val="00D43575"/>
    <w:rsid w:val="00D6498A"/>
    <w:rsid w:val="00D85E8D"/>
    <w:rsid w:val="00DB0D6B"/>
    <w:rsid w:val="00DC439C"/>
    <w:rsid w:val="00DC7403"/>
    <w:rsid w:val="00DD69E3"/>
    <w:rsid w:val="00DE6BF2"/>
    <w:rsid w:val="00DE7204"/>
    <w:rsid w:val="00DE73BC"/>
    <w:rsid w:val="00DF3A5B"/>
    <w:rsid w:val="00E34490"/>
    <w:rsid w:val="00E3601C"/>
    <w:rsid w:val="00E50E50"/>
    <w:rsid w:val="00E579A0"/>
    <w:rsid w:val="00E63531"/>
    <w:rsid w:val="00E6521C"/>
    <w:rsid w:val="00E7063C"/>
    <w:rsid w:val="00E723E5"/>
    <w:rsid w:val="00E76809"/>
    <w:rsid w:val="00E90021"/>
    <w:rsid w:val="00EA337F"/>
    <w:rsid w:val="00EA4CD4"/>
    <w:rsid w:val="00EC64B7"/>
    <w:rsid w:val="00EF2B02"/>
    <w:rsid w:val="00EF4679"/>
    <w:rsid w:val="00F04841"/>
    <w:rsid w:val="00F20024"/>
    <w:rsid w:val="00F4145B"/>
    <w:rsid w:val="00F52DB6"/>
    <w:rsid w:val="00F848E9"/>
    <w:rsid w:val="00F86A74"/>
    <w:rsid w:val="00FA2137"/>
    <w:rsid w:val="00FB6ADF"/>
    <w:rsid w:val="00FF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644EB"/>
  <w14:defaultImageDpi w14:val="0"/>
  <w15:docId w15:val="{AD290F81-F1EE-4DDC-9E2E-7099DC15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Info('indicator13_23.5.8');" TargetMode="External"/><Relationship Id="rId3" Type="http://schemas.openxmlformats.org/officeDocument/2006/relationships/styles" Target="styles.xml"/><Relationship Id="rId7" Type="http://schemas.openxmlformats.org/officeDocument/2006/relationships/hyperlink" Target="javascript:IInfo('indicator7_17.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IInfo('indicator14_2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0EB1-15C6-4AB9-A588-E0DB2B53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13022</Words>
  <Characters>74230</Characters>
  <Application>Microsoft Office Word</Application>
  <DocSecurity>0</DocSecurity>
  <Lines>618</Lines>
  <Paragraphs>174</Paragraphs>
  <ScaleCrop>false</ScaleCrop>
  <Company>SPecialiST RePack</Company>
  <LinksUpToDate>false</LinksUpToDate>
  <CharactersWithSpaces>87078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Черепанова</dc:creator>
  <cp:keywords/>
  <dc:description/>
  <cp:lastModifiedBy>andr</cp:lastModifiedBy>
  <cp:revision>2</cp:revision>
  <dcterms:created xsi:type="dcterms:W3CDTF">2024-09-16T01:36:00Z</dcterms:created>
  <dcterms:modified xsi:type="dcterms:W3CDTF">2024-09-16T01:36:00Z</dcterms:modified>
</cp:coreProperties>
</file>