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F86" w:rsidRDefault="00877F86" w:rsidP="00412D70">
      <w:pPr>
        <w:ind w:left="6804" w:hanging="2976"/>
        <w:jc w:val="left"/>
        <w:rPr>
          <w:b/>
          <w:sz w:val="32"/>
          <w:szCs w:val="32"/>
        </w:rPr>
      </w:pPr>
      <w:r w:rsidRPr="00B60333">
        <w:rPr>
          <w:rFonts w:eastAsia="Arial Unicode MS"/>
          <w:sz w:val="22"/>
          <w:szCs w:val="22"/>
        </w:rPr>
        <w:t xml:space="preserve">                       </w:t>
      </w:r>
    </w:p>
    <w:p w:rsidR="00877F86" w:rsidRPr="00DB56B1" w:rsidRDefault="00877F86" w:rsidP="003D7B67">
      <w:pPr>
        <w:pStyle w:val="a5"/>
        <w:ind w:left="0" w:firstLine="0"/>
        <w:jc w:val="center"/>
        <w:rPr>
          <w:b/>
          <w:sz w:val="32"/>
          <w:szCs w:val="32"/>
        </w:rPr>
      </w:pPr>
      <w:r w:rsidRPr="00DB56B1">
        <w:rPr>
          <w:b/>
          <w:sz w:val="32"/>
          <w:szCs w:val="32"/>
        </w:rPr>
        <w:t>ПРОГНОЗ</w:t>
      </w:r>
    </w:p>
    <w:p w:rsidR="00877F86" w:rsidRDefault="00877F86" w:rsidP="003D7B67">
      <w:pPr>
        <w:jc w:val="center"/>
        <w:rPr>
          <w:b/>
          <w:sz w:val="32"/>
          <w:szCs w:val="32"/>
        </w:rPr>
      </w:pPr>
      <w:r w:rsidRPr="00DB56B1">
        <w:rPr>
          <w:b/>
          <w:sz w:val="32"/>
          <w:szCs w:val="32"/>
        </w:rPr>
        <w:t>СОЦИАЛЬНО-ЭКОНО</w:t>
      </w:r>
      <w:r w:rsidR="00724A8A">
        <w:rPr>
          <w:b/>
          <w:sz w:val="32"/>
          <w:szCs w:val="32"/>
        </w:rPr>
        <w:t xml:space="preserve">МИЧЕСКОГО </w:t>
      </w:r>
      <w:r w:rsidR="00F9403F">
        <w:rPr>
          <w:b/>
          <w:sz w:val="32"/>
          <w:szCs w:val="32"/>
        </w:rPr>
        <w:t xml:space="preserve">РАЗВИТИЯ КАРАТУЗСКОГО </w:t>
      </w:r>
      <w:r w:rsidRPr="00DB56B1">
        <w:rPr>
          <w:b/>
          <w:sz w:val="32"/>
          <w:szCs w:val="32"/>
        </w:rPr>
        <w:t>РАЙОНА НА 20</w:t>
      </w:r>
      <w:r w:rsidR="00A166E3" w:rsidRPr="00DB56B1">
        <w:rPr>
          <w:b/>
          <w:sz w:val="32"/>
          <w:szCs w:val="32"/>
        </w:rPr>
        <w:t>2</w:t>
      </w:r>
      <w:r w:rsidR="009A11FE">
        <w:rPr>
          <w:b/>
          <w:sz w:val="32"/>
          <w:szCs w:val="32"/>
        </w:rPr>
        <w:t>5</w:t>
      </w:r>
      <w:r w:rsidRPr="00DB56B1">
        <w:rPr>
          <w:b/>
          <w:sz w:val="32"/>
          <w:szCs w:val="32"/>
        </w:rPr>
        <w:t xml:space="preserve"> год</w:t>
      </w:r>
      <w:proofErr w:type="gramStart"/>
      <w:r w:rsidRPr="00DB56B1">
        <w:rPr>
          <w:b/>
          <w:sz w:val="32"/>
          <w:szCs w:val="32"/>
        </w:rPr>
        <w:t xml:space="preserve"> И</w:t>
      </w:r>
      <w:proofErr w:type="gramEnd"/>
      <w:r w:rsidRPr="00DB56B1">
        <w:rPr>
          <w:b/>
          <w:sz w:val="32"/>
          <w:szCs w:val="32"/>
        </w:rPr>
        <w:t xml:space="preserve"> ПЛАНОВЫЙ ПЕРИОД 202</w:t>
      </w:r>
      <w:r w:rsidR="009A11FE">
        <w:rPr>
          <w:b/>
          <w:sz w:val="32"/>
          <w:szCs w:val="32"/>
        </w:rPr>
        <w:t>6</w:t>
      </w:r>
      <w:r w:rsidRPr="00DB56B1">
        <w:rPr>
          <w:b/>
          <w:sz w:val="32"/>
          <w:szCs w:val="32"/>
        </w:rPr>
        <w:t>-202</w:t>
      </w:r>
      <w:r w:rsidR="009A11FE">
        <w:rPr>
          <w:b/>
          <w:sz w:val="32"/>
          <w:szCs w:val="32"/>
        </w:rPr>
        <w:t>7</w:t>
      </w:r>
      <w:r w:rsidRPr="00DB56B1">
        <w:rPr>
          <w:b/>
          <w:sz w:val="32"/>
          <w:szCs w:val="32"/>
        </w:rPr>
        <w:t xml:space="preserve"> годов</w:t>
      </w:r>
    </w:p>
    <w:p w:rsidR="00877F86" w:rsidRDefault="00877F86" w:rsidP="003D7B67">
      <w:pPr>
        <w:pStyle w:val="a3"/>
        <w:spacing w:after="0"/>
        <w:ind w:firstLine="709"/>
        <w:rPr>
          <w:sz w:val="28"/>
          <w:szCs w:val="28"/>
        </w:rPr>
      </w:pPr>
    </w:p>
    <w:p w:rsidR="00877F86" w:rsidRPr="00DD252F" w:rsidRDefault="00877F86" w:rsidP="003D6DA5">
      <w:pPr>
        <w:autoSpaceDE w:val="0"/>
        <w:autoSpaceDN w:val="0"/>
        <w:adjustRightInd w:val="0"/>
        <w:ind w:firstLine="720"/>
        <w:rPr>
          <w:i/>
          <w:sz w:val="28"/>
          <w:szCs w:val="28"/>
        </w:rPr>
      </w:pPr>
      <w:r w:rsidRPr="00DD252F">
        <w:rPr>
          <w:sz w:val="28"/>
          <w:szCs w:val="28"/>
        </w:rPr>
        <w:t>Прогноз социально-экономического развития Каратузского района на 202</w:t>
      </w:r>
      <w:r w:rsidR="000153BF" w:rsidRPr="00DD252F">
        <w:rPr>
          <w:sz w:val="28"/>
          <w:szCs w:val="28"/>
        </w:rPr>
        <w:t>5</w:t>
      </w:r>
      <w:r w:rsidRPr="00DD252F">
        <w:rPr>
          <w:sz w:val="28"/>
          <w:szCs w:val="28"/>
        </w:rPr>
        <w:t>–202</w:t>
      </w:r>
      <w:r w:rsidR="000153BF" w:rsidRPr="00DD252F">
        <w:rPr>
          <w:sz w:val="28"/>
          <w:szCs w:val="28"/>
        </w:rPr>
        <w:t>7</w:t>
      </w:r>
      <w:r w:rsidRPr="00DD252F">
        <w:rPr>
          <w:sz w:val="28"/>
          <w:szCs w:val="28"/>
        </w:rPr>
        <w:t xml:space="preserve"> годы сформирован с учетом наметившихся тенденций в деятельности организаций и отраслей экономики по итогам социально-экономического развития </w:t>
      </w:r>
      <w:r w:rsidR="00D92851" w:rsidRPr="00DD252F">
        <w:rPr>
          <w:sz w:val="28"/>
          <w:szCs w:val="28"/>
        </w:rPr>
        <w:t>Красноярского края</w:t>
      </w:r>
      <w:r w:rsidRPr="00DD252F">
        <w:rPr>
          <w:sz w:val="28"/>
          <w:szCs w:val="28"/>
        </w:rPr>
        <w:t xml:space="preserve"> в 20</w:t>
      </w:r>
      <w:r w:rsidR="000153BF" w:rsidRPr="00DD252F">
        <w:rPr>
          <w:sz w:val="28"/>
          <w:szCs w:val="28"/>
        </w:rPr>
        <w:t>23</w:t>
      </w:r>
      <w:r w:rsidRPr="00DD252F">
        <w:rPr>
          <w:sz w:val="28"/>
          <w:szCs w:val="28"/>
        </w:rPr>
        <w:t xml:space="preserve"> году и январе – июне 20</w:t>
      </w:r>
      <w:r w:rsidR="000A74AE" w:rsidRPr="00DD252F">
        <w:rPr>
          <w:sz w:val="28"/>
          <w:szCs w:val="28"/>
        </w:rPr>
        <w:t>2</w:t>
      </w:r>
      <w:r w:rsidR="000153BF" w:rsidRPr="00DD252F">
        <w:rPr>
          <w:sz w:val="28"/>
          <w:szCs w:val="28"/>
        </w:rPr>
        <w:t>4</w:t>
      </w:r>
      <w:r w:rsidRPr="00DD252F">
        <w:rPr>
          <w:sz w:val="28"/>
          <w:szCs w:val="28"/>
        </w:rPr>
        <w:t xml:space="preserve"> года. В прогнозе учтены планы предприятий, субъектов малого предпринимательства по реализации  инвестиционных проектов, развитие социальной сферы и других отраслей.</w:t>
      </w:r>
    </w:p>
    <w:p w:rsidR="00877F86" w:rsidRPr="00DD252F" w:rsidRDefault="00877F86" w:rsidP="003D6DA5">
      <w:pPr>
        <w:pStyle w:val="a3"/>
        <w:spacing w:after="0"/>
        <w:ind w:firstLine="709"/>
        <w:rPr>
          <w:sz w:val="28"/>
          <w:szCs w:val="28"/>
        </w:rPr>
      </w:pPr>
      <w:proofErr w:type="gramStart"/>
      <w:r w:rsidRPr="00DD252F">
        <w:rPr>
          <w:sz w:val="28"/>
          <w:szCs w:val="28"/>
        </w:rPr>
        <w:t>Прогноз на 202</w:t>
      </w:r>
      <w:r w:rsidR="000153BF" w:rsidRPr="00DD252F">
        <w:rPr>
          <w:sz w:val="28"/>
          <w:szCs w:val="28"/>
        </w:rPr>
        <w:t>5</w:t>
      </w:r>
      <w:r w:rsidRPr="00DD252F">
        <w:rPr>
          <w:sz w:val="28"/>
          <w:szCs w:val="28"/>
        </w:rPr>
        <w:t>-202</w:t>
      </w:r>
      <w:r w:rsidR="000153BF" w:rsidRPr="00DD252F">
        <w:rPr>
          <w:sz w:val="28"/>
          <w:szCs w:val="28"/>
        </w:rPr>
        <w:t>7</w:t>
      </w:r>
      <w:r w:rsidRPr="00DD252F">
        <w:rPr>
          <w:sz w:val="28"/>
          <w:szCs w:val="28"/>
        </w:rPr>
        <w:t xml:space="preserve"> годы формировался в соответствии с законом Красноярского края от 18.12.2008г № 7-2617 «О бюджетном процессе в Красноярском крае» в редакции с изменениями</w:t>
      </w:r>
      <w:r w:rsidR="007A38EB" w:rsidRPr="00DD252F">
        <w:rPr>
          <w:sz w:val="28"/>
          <w:szCs w:val="28"/>
        </w:rPr>
        <w:t xml:space="preserve"> от 07.12.2023 № 6-229</w:t>
      </w:r>
      <w:r w:rsidR="007A0D19" w:rsidRPr="00DD252F">
        <w:rPr>
          <w:sz w:val="28"/>
          <w:szCs w:val="28"/>
        </w:rPr>
        <w:t>4</w:t>
      </w:r>
      <w:r w:rsidR="00236B44" w:rsidRPr="00DD252F">
        <w:rPr>
          <w:sz w:val="28"/>
          <w:szCs w:val="28"/>
        </w:rPr>
        <w:t xml:space="preserve"> «О внесении изменений в закон края «О бюджетном процессе в Красноярском крае»</w:t>
      </w:r>
      <w:r w:rsidR="00236B44" w:rsidRPr="00DD252F">
        <w:rPr>
          <w:rStyle w:val="af0"/>
          <w:color w:val="000000"/>
          <w:sz w:val="28"/>
          <w:szCs w:val="28"/>
          <w:shd w:val="clear" w:color="auto" w:fill="FFFFFF"/>
        </w:rPr>
        <w:t>»</w:t>
      </w:r>
      <w:r w:rsidRPr="00DD252F">
        <w:rPr>
          <w:sz w:val="28"/>
          <w:szCs w:val="28"/>
        </w:rPr>
        <w:t>, с постановлением правительства Красноярского края от 06.04.2010 г № 164-п «О порядке составления проекта закона Красноярского края о краевом бюджете на</w:t>
      </w:r>
      <w:proofErr w:type="gramEnd"/>
      <w:r w:rsidRPr="00DD252F">
        <w:rPr>
          <w:sz w:val="28"/>
          <w:szCs w:val="28"/>
        </w:rPr>
        <w:t xml:space="preserve"> очередной финансовый год и плановый период» в</w:t>
      </w:r>
      <w:r w:rsidRPr="00DD252F">
        <w:rPr>
          <w:color w:val="C00000"/>
          <w:sz w:val="28"/>
          <w:szCs w:val="28"/>
        </w:rPr>
        <w:t xml:space="preserve"> </w:t>
      </w:r>
      <w:r w:rsidRPr="00DD252F">
        <w:rPr>
          <w:sz w:val="28"/>
          <w:szCs w:val="28"/>
        </w:rPr>
        <w:t xml:space="preserve">редакции от </w:t>
      </w:r>
      <w:r w:rsidR="007A0D19" w:rsidRPr="00DD252F">
        <w:rPr>
          <w:sz w:val="28"/>
          <w:szCs w:val="28"/>
        </w:rPr>
        <w:t>18.01.2023 г. № 26</w:t>
      </w:r>
      <w:r w:rsidRPr="00DD252F">
        <w:rPr>
          <w:sz w:val="28"/>
          <w:szCs w:val="28"/>
        </w:rPr>
        <w:t>-п, а также на основе анализа тенденций экономического развития Красноярского края  в 20</w:t>
      </w:r>
      <w:r w:rsidR="00CD10E1" w:rsidRPr="00DD252F">
        <w:rPr>
          <w:sz w:val="28"/>
          <w:szCs w:val="28"/>
        </w:rPr>
        <w:t>23</w:t>
      </w:r>
      <w:r w:rsidRPr="00DD252F">
        <w:rPr>
          <w:sz w:val="28"/>
          <w:szCs w:val="28"/>
        </w:rPr>
        <w:t xml:space="preserve"> году, </w:t>
      </w:r>
      <w:r w:rsidRPr="00DD252F">
        <w:rPr>
          <w:sz w:val="28"/>
          <w:szCs w:val="28"/>
          <w:lang w:val="en-US"/>
        </w:rPr>
        <w:t>I</w:t>
      </w:r>
      <w:r w:rsidRPr="00DD252F">
        <w:rPr>
          <w:sz w:val="28"/>
          <w:szCs w:val="28"/>
        </w:rPr>
        <w:t xml:space="preserve"> полугодия 20</w:t>
      </w:r>
      <w:r w:rsidR="000A74AE" w:rsidRPr="00DD252F">
        <w:rPr>
          <w:sz w:val="28"/>
          <w:szCs w:val="28"/>
        </w:rPr>
        <w:t>2</w:t>
      </w:r>
      <w:r w:rsidR="00CD10E1" w:rsidRPr="00DD252F">
        <w:rPr>
          <w:sz w:val="28"/>
          <w:szCs w:val="28"/>
        </w:rPr>
        <w:t>4</w:t>
      </w:r>
      <w:r w:rsidRPr="00DD252F">
        <w:rPr>
          <w:sz w:val="28"/>
          <w:szCs w:val="28"/>
        </w:rPr>
        <w:t xml:space="preserve"> года, оценки состояния и прогноза индекса цен. </w:t>
      </w:r>
    </w:p>
    <w:p w:rsidR="00877F86" w:rsidRPr="00DD252F" w:rsidRDefault="00877F86" w:rsidP="003D6DA5">
      <w:pPr>
        <w:ind w:firstLine="709"/>
        <w:rPr>
          <w:sz w:val="28"/>
          <w:szCs w:val="28"/>
        </w:rPr>
      </w:pPr>
      <w:r w:rsidRPr="00DD252F">
        <w:rPr>
          <w:bCs/>
          <w:sz w:val="28"/>
          <w:szCs w:val="28"/>
        </w:rPr>
        <w:t xml:space="preserve">Прогноз </w:t>
      </w:r>
      <w:r w:rsidRPr="00DD252F">
        <w:rPr>
          <w:sz w:val="28"/>
          <w:szCs w:val="28"/>
        </w:rPr>
        <w:t xml:space="preserve">социально-экономического развития Каратузского района на трёхлетний период разработан </w:t>
      </w:r>
      <w:r w:rsidRPr="00DD252F">
        <w:rPr>
          <w:bCs/>
          <w:sz w:val="28"/>
          <w:szCs w:val="28"/>
        </w:rPr>
        <w:t xml:space="preserve">в двух вариантах: </w:t>
      </w:r>
      <w:r w:rsidRPr="00DD252F">
        <w:rPr>
          <w:sz w:val="28"/>
          <w:szCs w:val="28"/>
        </w:rPr>
        <w:t xml:space="preserve">консервативный (1 вариант), базовый (2 вариант). </w:t>
      </w:r>
    </w:p>
    <w:p w:rsidR="00877F86" w:rsidRPr="00DD252F" w:rsidRDefault="00877F86" w:rsidP="003D6DA5">
      <w:pPr>
        <w:pStyle w:val="a3"/>
        <w:spacing w:after="0"/>
        <w:ind w:firstLine="709"/>
        <w:rPr>
          <w:sz w:val="28"/>
          <w:szCs w:val="28"/>
        </w:rPr>
      </w:pPr>
      <w:r w:rsidRPr="00DD252F">
        <w:rPr>
          <w:sz w:val="28"/>
          <w:szCs w:val="28"/>
        </w:rPr>
        <w:t>В качестве основного,  для разработки параметров районного бюджета на 202</w:t>
      </w:r>
      <w:r w:rsidR="004B0373" w:rsidRPr="00DD252F">
        <w:rPr>
          <w:sz w:val="28"/>
          <w:szCs w:val="28"/>
        </w:rPr>
        <w:t>5</w:t>
      </w:r>
      <w:r w:rsidRPr="00DD252F">
        <w:rPr>
          <w:sz w:val="28"/>
          <w:szCs w:val="28"/>
        </w:rPr>
        <w:t>-202</w:t>
      </w:r>
      <w:r w:rsidR="004B0373" w:rsidRPr="00DD252F">
        <w:rPr>
          <w:sz w:val="28"/>
          <w:szCs w:val="28"/>
        </w:rPr>
        <w:t>7</w:t>
      </w:r>
      <w:r w:rsidRPr="00DD252F">
        <w:rPr>
          <w:sz w:val="28"/>
          <w:szCs w:val="28"/>
        </w:rPr>
        <w:t xml:space="preserve"> годы предлагается базовый, второй вариант прогноза.</w:t>
      </w:r>
    </w:p>
    <w:p w:rsidR="00877F86" w:rsidRPr="00DD252F" w:rsidRDefault="00877F86" w:rsidP="003D6DA5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DD252F">
        <w:rPr>
          <w:sz w:val="28"/>
          <w:szCs w:val="28"/>
        </w:rPr>
        <w:t xml:space="preserve">Базовый сценарий (вариант 2) предполагает развитие экономики в условиях сохранения тенденций изменения внешних факторов. </w:t>
      </w:r>
    </w:p>
    <w:p w:rsidR="00877F86" w:rsidRPr="00DD252F" w:rsidRDefault="00877F86" w:rsidP="00C75D6C">
      <w:pPr>
        <w:pStyle w:val="a3"/>
        <w:spacing w:after="0"/>
        <w:ind w:firstLine="709"/>
        <w:rPr>
          <w:sz w:val="28"/>
          <w:szCs w:val="28"/>
        </w:rPr>
      </w:pPr>
      <w:r w:rsidRPr="00DD252F">
        <w:rPr>
          <w:sz w:val="28"/>
          <w:szCs w:val="28"/>
        </w:rPr>
        <w:t>Второй вариант предусматривает ускоренное развитие экономического роста в районе за счет:</w:t>
      </w:r>
    </w:p>
    <w:p w:rsidR="00877F86" w:rsidRPr="00DD252F" w:rsidRDefault="00877F86" w:rsidP="002C18DF">
      <w:pPr>
        <w:pStyle w:val="a3"/>
        <w:numPr>
          <w:ilvl w:val="0"/>
          <w:numId w:val="3"/>
        </w:numPr>
        <w:spacing w:after="0"/>
        <w:ind w:left="0" w:firstLine="0"/>
        <w:rPr>
          <w:sz w:val="28"/>
          <w:szCs w:val="28"/>
        </w:rPr>
      </w:pPr>
      <w:r w:rsidRPr="00DD252F">
        <w:rPr>
          <w:sz w:val="28"/>
          <w:szCs w:val="28"/>
        </w:rPr>
        <w:t>своевременной и полной реализации  инвестиционных проектов;</w:t>
      </w:r>
    </w:p>
    <w:p w:rsidR="00877F86" w:rsidRPr="00DD252F" w:rsidRDefault="00877F86" w:rsidP="002C18DF">
      <w:pPr>
        <w:pStyle w:val="a3"/>
        <w:numPr>
          <w:ilvl w:val="0"/>
          <w:numId w:val="3"/>
        </w:numPr>
        <w:spacing w:after="0"/>
        <w:ind w:left="0" w:firstLine="0"/>
        <w:rPr>
          <w:sz w:val="28"/>
          <w:szCs w:val="28"/>
        </w:rPr>
      </w:pPr>
      <w:r w:rsidRPr="00DD252F">
        <w:rPr>
          <w:sz w:val="28"/>
          <w:szCs w:val="28"/>
        </w:rPr>
        <w:t>реализации муниципальных программ, в том числе с эффективным использованием государственных и муниципальных  инвестиций;</w:t>
      </w:r>
    </w:p>
    <w:p w:rsidR="00A86FD3" w:rsidRPr="00DD252F" w:rsidRDefault="00A86FD3" w:rsidP="002C18DF">
      <w:pPr>
        <w:pStyle w:val="a3"/>
        <w:numPr>
          <w:ilvl w:val="0"/>
          <w:numId w:val="3"/>
        </w:numPr>
        <w:spacing w:after="0"/>
        <w:ind w:left="0" w:firstLine="0"/>
        <w:rPr>
          <w:sz w:val="28"/>
          <w:szCs w:val="28"/>
        </w:rPr>
      </w:pPr>
      <w:r w:rsidRPr="00DD252F">
        <w:rPr>
          <w:sz w:val="28"/>
          <w:szCs w:val="28"/>
        </w:rPr>
        <w:t>реализации на территории района национальных проектов;</w:t>
      </w:r>
    </w:p>
    <w:p w:rsidR="00877F86" w:rsidRPr="00DD252F" w:rsidRDefault="00877F86" w:rsidP="002C18DF">
      <w:pPr>
        <w:pStyle w:val="31"/>
        <w:numPr>
          <w:ilvl w:val="0"/>
          <w:numId w:val="3"/>
        </w:numPr>
        <w:spacing w:after="0"/>
        <w:ind w:left="0" w:firstLine="0"/>
        <w:rPr>
          <w:sz w:val="28"/>
          <w:szCs w:val="28"/>
        </w:rPr>
      </w:pPr>
      <w:r w:rsidRPr="00DD252F">
        <w:rPr>
          <w:sz w:val="28"/>
          <w:szCs w:val="28"/>
        </w:rPr>
        <w:t>повышение инвестиций в развитие человеческого капитала.</w:t>
      </w:r>
    </w:p>
    <w:p w:rsidR="00665D51" w:rsidRPr="00DD252F" w:rsidRDefault="00665D51" w:rsidP="00665D51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</w:rPr>
      </w:pPr>
    </w:p>
    <w:p w:rsidR="00C75D6C" w:rsidRPr="00DD252F" w:rsidRDefault="00877F86" w:rsidP="00665D51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DD252F">
        <w:rPr>
          <w:rFonts w:ascii="Times New Roman" w:hAnsi="Times New Roman" w:cs="Times New Roman"/>
          <w:i w:val="0"/>
        </w:rPr>
        <w:t>Основные социально-экономические показатели и направления деятельности в прогнозном периоде 20</w:t>
      </w:r>
      <w:r w:rsidR="000A74AE" w:rsidRPr="00DD252F">
        <w:rPr>
          <w:rFonts w:ascii="Times New Roman" w:hAnsi="Times New Roman" w:cs="Times New Roman"/>
          <w:i w:val="0"/>
        </w:rPr>
        <w:t>2</w:t>
      </w:r>
      <w:r w:rsidR="008857F4" w:rsidRPr="00DD252F">
        <w:rPr>
          <w:rFonts w:ascii="Times New Roman" w:hAnsi="Times New Roman" w:cs="Times New Roman"/>
          <w:i w:val="0"/>
        </w:rPr>
        <w:t>5</w:t>
      </w:r>
      <w:r w:rsidRPr="00DD252F">
        <w:rPr>
          <w:rFonts w:ascii="Times New Roman" w:hAnsi="Times New Roman" w:cs="Times New Roman"/>
          <w:i w:val="0"/>
        </w:rPr>
        <w:t>-202</w:t>
      </w:r>
      <w:r w:rsidR="008857F4" w:rsidRPr="00DD252F">
        <w:rPr>
          <w:rFonts w:ascii="Times New Roman" w:hAnsi="Times New Roman" w:cs="Times New Roman"/>
          <w:i w:val="0"/>
        </w:rPr>
        <w:t>7</w:t>
      </w:r>
      <w:r w:rsidRPr="00DD252F">
        <w:rPr>
          <w:rFonts w:ascii="Times New Roman" w:hAnsi="Times New Roman" w:cs="Times New Roman"/>
          <w:i w:val="0"/>
        </w:rPr>
        <w:t xml:space="preserve"> годах</w:t>
      </w:r>
    </w:p>
    <w:p w:rsidR="00C75D6C" w:rsidRPr="00DD252F" w:rsidRDefault="00877F86" w:rsidP="00C75D6C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DD252F">
        <w:rPr>
          <w:rFonts w:ascii="Times New Roman" w:hAnsi="Times New Roman" w:cs="Times New Roman"/>
          <w:i w:val="0"/>
        </w:rPr>
        <w:t>Макроэкономические показатели по видам экономической деятельности в прогнозном периоде: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2"/>
        <w:gridCol w:w="1639"/>
        <w:gridCol w:w="1417"/>
        <w:gridCol w:w="1276"/>
      </w:tblGrid>
      <w:tr w:rsidR="0078762F" w:rsidRPr="00DD252F" w:rsidTr="007538BB">
        <w:trPr>
          <w:trHeight w:val="535"/>
        </w:trPr>
        <w:tc>
          <w:tcPr>
            <w:tcW w:w="4882" w:type="dxa"/>
            <w:vAlign w:val="center"/>
          </w:tcPr>
          <w:p w:rsidR="0078762F" w:rsidRPr="00DD252F" w:rsidRDefault="0078762F" w:rsidP="007538BB">
            <w:pPr>
              <w:jc w:val="center"/>
            </w:pPr>
            <w:r w:rsidRPr="00DD252F">
              <w:rPr>
                <w:iCs/>
              </w:rPr>
              <w:t>Наименование показателя</w:t>
            </w:r>
          </w:p>
        </w:tc>
        <w:tc>
          <w:tcPr>
            <w:tcW w:w="1639" w:type="dxa"/>
          </w:tcPr>
          <w:p w:rsidR="0078762F" w:rsidRPr="00DD252F" w:rsidRDefault="0078762F" w:rsidP="003D7B67">
            <w:pPr>
              <w:jc w:val="center"/>
            </w:pPr>
            <w:r w:rsidRPr="00DD252F">
              <w:t>Прогноз</w:t>
            </w:r>
          </w:p>
          <w:p w:rsidR="0078762F" w:rsidRPr="00DD252F" w:rsidRDefault="0078762F" w:rsidP="00BE0335">
            <w:pPr>
              <w:jc w:val="center"/>
            </w:pPr>
            <w:r w:rsidRPr="00DD252F">
              <w:t>202</w:t>
            </w:r>
            <w:r w:rsidR="003D3302" w:rsidRPr="00DD252F">
              <w:t>5</w:t>
            </w:r>
          </w:p>
        </w:tc>
        <w:tc>
          <w:tcPr>
            <w:tcW w:w="1417" w:type="dxa"/>
          </w:tcPr>
          <w:p w:rsidR="0078762F" w:rsidRPr="00DD252F" w:rsidRDefault="0078762F" w:rsidP="003D7B67">
            <w:pPr>
              <w:jc w:val="center"/>
            </w:pPr>
            <w:r w:rsidRPr="00DD252F">
              <w:t>Прогноз</w:t>
            </w:r>
          </w:p>
          <w:p w:rsidR="0078762F" w:rsidRPr="00DD252F" w:rsidRDefault="0078762F" w:rsidP="00BE0335">
            <w:pPr>
              <w:jc w:val="center"/>
            </w:pPr>
            <w:r w:rsidRPr="00DD252F">
              <w:t>202</w:t>
            </w:r>
            <w:r w:rsidR="003D3302" w:rsidRPr="00DD252F">
              <w:t>6</w:t>
            </w:r>
          </w:p>
        </w:tc>
        <w:tc>
          <w:tcPr>
            <w:tcW w:w="1276" w:type="dxa"/>
          </w:tcPr>
          <w:p w:rsidR="0078762F" w:rsidRPr="00DD252F" w:rsidRDefault="0078762F" w:rsidP="00BE0335">
            <w:pPr>
              <w:jc w:val="center"/>
            </w:pPr>
            <w:r w:rsidRPr="00DD252F">
              <w:t>Прогноз 202</w:t>
            </w:r>
            <w:r w:rsidR="003D3302" w:rsidRPr="00DD252F">
              <w:t>7</w:t>
            </w:r>
          </w:p>
        </w:tc>
      </w:tr>
      <w:tr w:rsidR="0078762F" w:rsidRPr="00DD252F" w:rsidTr="003379E6">
        <w:trPr>
          <w:trHeight w:val="327"/>
        </w:trPr>
        <w:tc>
          <w:tcPr>
            <w:tcW w:w="9214" w:type="dxa"/>
            <w:gridSpan w:val="4"/>
          </w:tcPr>
          <w:p w:rsidR="0078762F" w:rsidRPr="00DD252F" w:rsidRDefault="0078762F" w:rsidP="003D7B67">
            <w:pPr>
              <w:jc w:val="left"/>
              <w:rPr>
                <w:b/>
              </w:rPr>
            </w:pPr>
            <w:r w:rsidRPr="00DD252F">
              <w:rPr>
                <w:b/>
              </w:rPr>
              <w:lastRenderedPageBreak/>
              <w:t>Промышленное производство:</w:t>
            </w:r>
          </w:p>
        </w:tc>
      </w:tr>
      <w:tr w:rsidR="0078762F" w:rsidRPr="00DD252F" w:rsidTr="003379E6">
        <w:trPr>
          <w:trHeight w:val="268"/>
        </w:trPr>
        <w:tc>
          <w:tcPr>
            <w:tcW w:w="4882" w:type="dxa"/>
          </w:tcPr>
          <w:p w:rsidR="0078762F" w:rsidRPr="00DD252F" w:rsidRDefault="0078762F" w:rsidP="002C18DF">
            <w:pPr>
              <w:rPr>
                <w:b/>
                <w:iCs/>
              </w:rPr>
            </w:pPr>
            <w:r w:rsidRPr="00DD252F">
              <w:rPr>
                <w:iCs/>
              </w:rPr>
              <w:t>Объем отгруженных товаров собственного производства,</w:t>
            </w:r>
            <w:r w:rsidR="005D3C3C" w:rsidRPr="00DD252F">
              <w:rPr>
                <w:iCs/>
              </w:rPr>
              <w:t xml:space="preserve"> </w:t>
            </w:r>
            <w:r w:rsidRPr="00DD252F">
              <w:rPr>
                <w:iCs/>
              </w:rPr>
              <w:t xml:space="preserve">выполненных работ, услуг, собственными силами организаций по хозяйственным видам деятельности  (без субъектов малого предпринимательства и параметров неформальной деятельности) </w:t>
            </w:r>
            <w:r w:rsidR="002C18DF" w:rsidRPr="00DD252F">
              <w:rPr>
                <w:b/>
                <w:iCs/>
              </w:rPr>
              <w:t>Раздел</w:t>
            </w:r>
            <w:proofErr w:type="gramStart"/>
            <w:r w:rsidR="002C18DF" w:rsidRPr="00DD252F">
              <w:rPr>
                <w:b/>
                <w:iCs/>
              </w:rPr>
              <w:t xml:space="preserve"> </w:t>
            </w:r>
            <w:r w:rsidR="0061646B" w:rsidRPr="00DD252F">
              <w:rPr>
                <w:b/>
                <w:iCs/>
              </w:rPr>
              <w:t>С</w:t>
            </w:r>
            <w:proofErr w:type="gramEnd"/>
            <w:r w:rsidRPr="00DD252F">
              <w:rPr>
                <w:b/>
                <w:iCs/>
              </w:rPr>
              <w:t xml:space="preserve">: </w:t>
            </w:r>
            <w:r w:rsidR="0061646B" w:rsidRPr="00DD252F">
              <w:rPr>
                <w:b/>
              </w:rPr>
              <w:t>Обрабатывающие производства</w:t>
            </w:r>
            <w:r w:rsidRPr="00DD252F">
              <w:rPr>
                <w:b/>
                <w:iCs/>
              </w:rPr>
              <w:t xml:space="preserve">, </w:t>
            </w:r>
          </w:p>
          <w:p w:rsidR="0078762F" w:rsidRPr="00DD252F" w:rsidRDefault="0078762F" w:rsidP="002C18DF">
            <w:pPr>
              <w:jc w:val="left"/>
              <w:rPr>
                <w:iCs/>
              </w:rPr>
            </w:pPr>
            <w:r w:rsidRPr="00DD252F">
              <w:rPr>
                <w:b/>
                <w:iCs/>
              </w:rPr>
              <w:t>тыс. руб.</w:t>
            </w:r>
          </w:p>
        </w:tc>
        <w:tc>
          <w:tcPr>
            <w:tcW w:w="1639" w:type="dxa"/>
            <w:vAlign w:val="center"/>
          </w:tcPr>
          <w:p w:rsidR="0078762F" w:rsidRPr="00DD252F" w:rsidRDefault="00633C61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316 836,85</w:t>
            </w:r>
          </w:p>
        </w:tc>
        <w:tc>
          <w:tcPr>
            <w:tcW w:w="1417" w:type="dxa"/>
            <w:vAlign w:val="center"/>
          </w:tcPr>
          <w:p w:rsidR="0078762F" w:rsidRPr="00DD252F" w:rsidRDefault="00633C61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326 437,01</w:t>
            </w:r>
          </w:p>
        </w:tc>
        <w:tc>
          <w:tcPr>
            <w:tcW w:w="1276" w:type="dxa"/>
            <w:vAlign w:val="center"/>
          </w:tcPr>
          <w:p w:rsidR="0078762F" w:rsidRPr="00DD252F" w:rsidRDefault="00633C61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333 292,19</w:t>
            </w:r>
          </w:p>
        </w:tc>
      </w:tr>
      <w:tr w:rsidR="0078762F" w:rsidRPr="00DD252F" w:rsidTr="003379E6">
        <w:trPr>
          <w:trHeight w:val="535"/>
        </w:trPr>
        <w:tc>
          <w:tcPr>
            <w:tcW w:w="4882" w:type="dxa"/>
          </w:tcPr>
          <w:p w:rsidR="0078762F" w:rsidRPr="00DD252F" w:rsidRDefault="0078762F" w:rsidP="003D7B67">
            <w:pPr>
              <w:rPr>
                <w:iCs/>
              </w:rPr>
            </w:pPr>
            <w:r w:rsidRPr="00DD252F">
              <w:rPr>
                <w:iCs/>
              </w:rPr>
              <w:t xml:space="preserve">Темп роста отгруженных товаров собственного производства соответствующему периоду прошлого года в действующих ценах, </w:t>
            </w:r>
          </w:p>
          <w:p w:rsidR="0078762F" w:rsidRPr="00DD252F" w:rsidRDefault="0078762F" w:rsidP="0061646B">
            <w:pPr>
              <w:rPr>
                <w:b/>
                <w:iCs/>
              </w:rPr>
            </w:pPr>
            <w:r w:rsidRPr="00DD252F">
              <w:rPr>
                <w:b/>
                <w:iCs/>
              </w:rPr>
              <w:t>Раздел</w:t>
            </w:r>
            <w:proofErr w:type="gramStart"/>
            <w:r w:rsidRPr="00DD252F">
              <w:rPr>
                <w:b/>
                <w:iCs/>
              </w:rPr>
              <w:t xml:space="preserve"> </w:t>
            </w:r>
            <w:r w:rsidR="0061646B" w:rsidRPr="00DD252F">
              <w:rPr>
                <w:b/>
                <w:iCs/>
              </w:rPr>
              <w:t>С</w:t>
            </w:r>
            <w:proofErr w:type="gramEnd"/>
            <w:r w:rsidRPr="00DD252F">
              <w:rPr>
                <w:b/>
                <w:iCs/>
              </w:rPr>
              <w:t xml:space="preserve">: </w:t>
            </w:r>
            <w:r w:rsidR="0061646B" w:rsidRPr="00DD252F">
              <w:rPr>
                <w:b/>
              </w:rPr>
              <w:t>Обрабатывающие производства</w:t>
            </w:r>
            <w:r w:rsidRPr="00DD252F">
              <w:rPr>
                <w:b/>
                <w:iCs/>
              </w:rPr>
              <w:t>, %</w:t>
            </w:r>
          </w:p>
        </w:tc>
        <w:tc>
          <w:tcPr>
            <w:tcW w:w="1639" w:type="dxa"/>
            <w:vAlign w:val="center"/>
          </w:tcPr>
          <w:p w:rsidR="0078762F" w:rsidRPr="00DD252F" w:rsidRDefault="00922283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103,43</w:t>
            </w:r>
          </w:p>
        </w:tc>
        <w:tc>
          <w:tcPr>
            <w:tcW w:w="1417" w:type="dxa"/>
            <w:vAlign w:val="center"/>
          </w:tcPr>
          <w:p w:rsidR="0078762F" w:rsidRPr="00DD252F" w:rsidRDefault="00922283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103,03</w:t>
            </w:r>
          </w:p>
        </w:tc>
        <w:tc>
          <w:tcPr>
            <w:tcW w:w="1276" w:type="dxa"/>
            <w:vAlign w:val="center"/>
          </w:tcPr>
          <w:p w:rsidR="0078762F" w:rsidRPr="00DD252F" w:rsidRDefault="00922283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102,10</w:t>
            </w:r>
          </w:p>
        </w:tc>
      </w:tr>
      <w:tr w:rsidR="0078762F" w:rsidRPr="00DD252F" w:rsidTr="002C18DF">
        <w:trPr>
          <w:trHeight w:val="2272"/>
        </w:trPr>
        <w:tc>
          <w:tcPr>
            <w:tcW w:w="4882" w:type="dxa"/>
          </w:tcPr>
          <w:p w:rsidR="0078762F" w:rsidRPr="00DD252F" w:rsidRDefault="0078762F" w:rsidP="003D7B67">
            <w:pPr>
              <w:rPr>
                <w:iCs/>
              </w:rPr>
            </w:pPr>
            <w:r w:rsidRPr="00DD252F">
              <w:rPr>
                <w:iCs/>
              </w:rPr>
              <w:t>Объем отгруженных товаров собственного производства, выполненных работ, услуг, собственными силами организаций по хозяйственным видам деятельности  (без субъектов малого предпринимательства и параметров неформальной деятельности)</w:t>
            </w:r>
          </w:p>
          <w:p w:rsidR="0078762F" w:rsidRPr="00DD252F" w:rsidRDefault="0078762F" w:rsidP="003D7B67">
            <w:pPr>
              <w:rPr>
                <w:iCs/>
                <w:sz w:val="22"/>
                <w:szCs w:val="22"/>
              </w:rPr>
            </w:pPr>
            <w:r w:rsidRPr="00DD252F">
              <w:rPr>
                <w:b/>
                <w:iCs/>
              </w:rPr>
              <w:t xml:space="preserve">Раздел </w:t>
            </w:r>
            <w:r w:rsidRPr="00DD252F">
              <w:rPr>
                <w:b/>
                <w:iCs/>
                <w:lang w:val="en-US"/>
              </w:rPr>
              <w:t>D</w:t>
            </w:r>
            <w:r w:rsidRPr="00DD252F">
              <w:rPr>
                <w:b/>
                <w:iCs/>
              </w:rPr>
              <w:t>:</w:t>
            </w:r>
            <w:r w:rsidRPr="00DD252F">
              <w:rPr>
                <w:iCs/>
              </w:rPr>
              <w:t xml:space="preserve"> </w:t>
            </w:r>
            <w:r w:rsidRPr="00DD252F">
              <w:rPr>
                <w:b/>
                <w:iCs/>
              </w:rPr>
              <w:t>Обеспечение электрической энергией, газом и паром, кондиционирование воздуха, тыс. руб.</w:t>
            </w:r>
          </w:p>
        </w:tc>
        <w:tc>
          <w:tcPr>
            <w:tcW w:w="1639" w:type="dxa"/>
            <w:vAlign w:val="center"/>
          </w:tcPr>
          <w:p w:rsidR="0078762F" w:rsidRPr="00DD252F" w:rsidRDefault="00CE6019" w:rsidP="002018F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6 969,79</w:t>
            </w:r>
          </w:p>
        </w:tc>
        <w:tc>
          <w:tcPr>
            <w:tcW w:w="1417" w:type="dxa"/>
            <w:vAlign w:val="center"/>
          </w:tcPr>
          <w:p w:rsidR="0078762F" w:rsidRPr="00DD252F" w:rsidRDefault="00CE6019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7 180,9</w:t>
            </w:r>
            <w:r w:rsidR="00922283" w:rsidRPr="00DD252F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78762F" w:rsidRPr="00DD252F" w:rsidRDefault="00CE6019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7 331,77</w:t>
            </w:r>
          </w:p>
        </w:tc>
      </w:tr>
      <w:tr w:rsidR="0078762F" w:rsidRPr="00DD252F" w:rsidTr="003379E6">
        <w:trPr>
          <w:trHeight w:val="1556"/>
        </w:trPr>
        <w:tc>
          <w:tcPr>
            <w:tcW w:w="4882" w:type="dxa"/>
          </w:tcPr>
          <w:p w:rsidR="0078762F" w:rsidRPr="00DD252F" w:rsidRDefault="0078762F" w:rsidP="003D7B67">
            <w:pPr>
              <w:jc w:val="left"/>
              <w:rPr>
                <w:iCs/>
              </w:rPr>
            </w:pPr>
            <w:r w:rsidRPr="00DD252F">
              <w:rPr>
                <w:iCs/>
              </w:rPr>
              <w:t xml:space="preserve">Темп роста отгруженных товаров собственного производства соответствующему периоду прошлого года в действующих ценах, </w:t>
            </w:r>
          </w:p>
          <w:p w:rsidR="0078762F" w:rsidRPr="00DD252F" w:rsidRDefault="0078762F" w:rsidP="003D7B67">
            <w:pPr>
              <w:rPr>
                <w:iCs/>
              </w:rPr>
            </w:pPr>
            <w:r w:rsidRPr="00DD252F">
              <w:rPr>
                <w:b/>
                <w:iCs/>
              </w:rPr>
              <w:t xml:space="preserve">Раздел </w:t>
            </w:r>
            <w:r w:rsidRPr="00DD252F">
              <w:rPr>
                <w:b/>
                <w:iCs/>
                <w:lang w:val="en-US"/>
              </w:rPr>
              <w:t>D</w:t>
            </w:r>
            <w:r w:rsidRPr="00DD252F">
              <w:rPr>
                <w:b/>
                <w:iCs/>
              </w:rPr>
              <w:t>:</w:t>
            </w:r>
            <w:r w:rsidRPr="00DD252F">
              <w:rPr>
                <w:iCs/>
              </w:rPr>
              <w:t xml:space="preserve"> </w:t>
            </w:r>
            <w:r w:rsidRPr="00DD252F">
              <w:rPr>
                <w:b/>
                <w:iCs/>
              </w:rPr>
              <w:t>Обеспечение электрической энергией, газом и паром, кондиционирование воздуха, %</w:t>
            </w:r>
          </w:p>
        </w:tc>
        <w:tc>
          <w:tcPr>
            <w:tcW w:w="1639" w:type="dxa"/>
            <w:vAlign w:val="center"/>
          </w:tcPr>
          <w:p w:rsidR="0078762F" w:rsidRPr="00DD252F" w:rsidRDefault="00A74CBE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103,43</w:t>
            </w:r>
          </w:p>
        </w:tc>
        <w:tc>
          <w:tcPr>
            <w:tcW w:w="1417" w:type="dxa"/>
            <w:vAlign w:val="center"/>
          </w:tcPr>
          <w:p w:rsidR="0078762F" w:rsidRPr="00DD252F" w:rsidRDefault="00A74CBE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103,03</w:t>
            </w:r>
          </w:p>
        </w:tc>
        <w:tc>
          <w:tcPr>
            <w:tcW w:w="1276" w:type="dxa"/>
            <w:vAlign w:val="center"/>
          </w:tcPr>
          <w:p w:rsidR="0078762F" w:rsidRPr="00DD252F" w:rsidRDefault="00A74CBE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102,10</w:t>
            </w:r>
          </w:p>
        </w:tc>
      </w:tr>
      <w:tr w:rsidR="0078762F" w:rsidRPr="00DD252F" w:rsidTr="003379E6">
        <w:trPr>
          <w:trHeight w:val="311"/>
        </w:trPr>
        <w:tc>
          <w:tcPr>
            <w:tcW w:w="9214" w:type="dxa"/>
            <w:gridSpan w:val="4"/>
          </w:tcPr>
          <w:p w:rsidR="0078762F" w:rsidRPr="00DD252F" w:rsidRDefault="0078762F" w:rsidP="003D7B67">
            <w:pPr>
              <w:jc w:val="left"/>
              <w:rPr>
                <w:b/>
              </w:rPr>
            </w:pPr>
            <w:r w:rsidRPr="00DD252F">
              <w:rPr>
                <w:b/>
              </w:rPr>
              <w:t>Сельское, лесное хозяйство, охота, рыболовство и рыбоводство</w:t>
            </w:r>
          </w:p>
        </w:tc>
      </w:tr>
      <w:tr w:rsidR="0078762F" w:rsidRPr="00DD252F" w:rsidTr="003379E6">
        <w:trPr>
          <w:trHeight w:val="728"/>
        </w:trPr>
        <w:tc>
          <w:tcPr>
            <w:tcW w:w="4882" w:type="dxa"/>
          </w:tcPr>
          <w:p w:rsidR="0078762F" w:rsidRPr="00DD252F" w:rsidRDefault="0023175F" w:rsidP="003D7B67">
            <w:r w:rsidRPr="00DD252F"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639" w:type="dxa"/>
            <w:vAlign w:val="center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1819BA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582 074</w:t>
            </w:r>
            <w:r w:rsidR="00505EB0" w:rsidRPr="00DD252F">
              <w:rPr>
                <w:rFonts w:ascii="Times New Roman CYR" w:hAnsi="Times New Roman CYR" w:cs="Times New Roman CYR"/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center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505EB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1819BA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587 671</w:t>
            </w:r>
            <w:r w:rsidR="00505EB0" w:rsidRPr="00DD252F">
              <w:rPr>
                <w:rFonts w:ascii="Times New Roman CYR" w:hAnsi="Times New Roman CYR" w:cs="Times New Roman CYR"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:rsidR="0078762F" w:rsidRPr="00DD252F" w:rsidRDefault="0078762F" w:rsidP="00505EB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1819BA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593 268</w:t>
            </w:r>
            <w:r w:rsidR="00505EB0" w:rsidRPr="00DD252F">
              <w:rPr>
                <w:rFonts w:ascii="Times New Roman CYR" w:hAnsi="Times New Roman CYR" w:cs="Times New Roman CYR"/>
                <w:sz w:val="20"/>
                <w:szCs w:val="20"/>
              </w:rPr>
              <w:t>,00</w:t>
            </w:r>
          </w:p>
        </w:tc>
      </w:tr>
      <w:tr w:rsidR="0078762F" w:rsidRPr="00DD252F" w:rsidTr="003379E6">
        <w:trPr>
          <w:trHeight w:val="476"/>
        </w:trPr>
        <w:tc>
          <w:tcPr>
            <w:tcW w:w="4882" w:type="dxa"/>
          </w:tcPr>
          <w:p w:rsidR="0078762F" w:rsidRPr="00DD252F" w:rsidRDefault="0078762F" w:rsidP="003D7B67">
            <w:r w:rsidRPr="00DD252F">
              <w:t xml:space="preserve"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</w:t>
            </w:r>
            <w:r w:rsidRPr="00DD252F">
              <w:lastRenderedPageBreak/>
              <w:t>в действующих ценах, к соответствующему периоду предыдущего года</w:t>
            </w:r>
          </w:p>
          <w:p w:rsidR="0078762F" w:rsidRPr="00DD252F" w:rsidRDefault="0078762F" w:rsidP="00F63A44">
            <w:r w:rsidRPr="00DD252F">
              <w:t xml:space="preserve"> </w:t>
            </w:r>
            <w:r w:rsidR="00F63A44" w:rsidRPr="00DD252F">
              <w:t>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639" w:type="dxa"/>
            <w:vAlign w:val="center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4360EE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104</w:t>
            </w:r>
            <w:r w:rsidR="006158BF" w:rsidRPr="00DD252F">
              <w:rPr>
                <w:rFonts w:ascii="Times New Roman CYR" w:hAnsi="Times New Roman CYR" w:cs="Times New Roman CYR"/>
                <w:sz w:val="20"/>
                <w:szCs w:val="20"/>
              </w:rPr>
              <w:t>,0</w:t>
            </w:r>
            <w:r w:rsidR="007446D8" w:rsidRPr="00DD252F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100,</w:t>
            </w:r>
            <w:r w:rsidR="004360EE" w:rsidRPr="00DD252F">
              <w:rPr>
                <w:rFonts w:ascii="Times New Roman CYR" w:hAnsi="Times New Roman CYR" w:cs="Times New Roman CYR"/>
                <w:sz w:val="20"/>
                <w:szCs w:val="20"/>
              </w:rPr>
              <w:t>96</w:t>
            </w:r>
          </w:p>
        </w:tc>
        <w:tc>
          <w:tcPr>
            <w:tcW w:w="1276" w:type="dxa"/>
            <w:vAlign w:val="center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4360EE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100,95</w:t>
            </w:r>
          </w:p>
        </w:tc>
      </w:tr>
      <w:tr w:rsidR="0078762F" w:rsidRPr="00DD252F" w:rsidTr="004360EE">
        <w:trPr>
          <w:trHeight w:val="375"/>
        </w:trPr>
        <w:tc>
          <w:tcPr>
            <w:tcW w:w="4882" w:type="dxa"/>
          </w:tcPr>
          <w:p w:rsidR="0078762F" w:rsidRPr="00DD252F" w:rsidRDefault="0078762F" w:rsidP="003D7B67">
            <w:r w:rsidRPr="00DD252F">
              <w:lastRenderedPageBreak/>
              <w:t xml:space="preserve">  Производство с/х продукции:</w:t>
            </w:r>
          </w:p>
        </w:tc>
        <w:tc>
          <w:tcPr>
            <w:tcW w:w="1639" w:type="dxa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360EE" w:rsidRPr="00DD252F" w:rsidTr="00860B69">
        <w:trPr>
          <w:trHeight w:val="296"/>
        </w:trPr>
        <w:tc>
          <w:tcPr>
            <w:tcW w:w="4882" w:type="dxa"/>
          </w:tcPr>
          <w:p w:rsidR="004360EE" w:rsidRPr="00DD252F" w:rsidRDefault="004360EE" w:rsidP="003D7B67">
            <w:r w:rsidRPr="00DD252F">
              <w:t xml:space="preserve">- скота и птицы на убой, тонн </w:t>
            </w:r>
          </w:p>
        </w:tc>
        <w:tc>
          <w:tcPr>
            <w:tcW w:w="1639" w:type="dxa"/>
            <w:vAlign w:val="center"/>
          </w:tcPr>
          <w:p w:rsidR="004360EE" w:rsidRPr="00DD252F" w:rsidRDefault="00353BAE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1 774,06</w:t>
            </w:r>
          </w:p>
        </w:tc>
        <w:tc>
          <w:tcPr>
            <w:tcW w:w="1417" w:type="dxa"/>
            <w:vAlign w:val="center"/>
          </w:tcPr>
          <w:p w:rsidR="004360EE" w:rsidRPr="00DD252F" w:rsidRDefault="00353BAE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1 820,88</w:t>
            </w:r>
          </w:p>
        </w:tc>
        <w:tc>
          <w:tcPr>
            <w:tcW w:w="1276" w:type="dxa"/>
            <w:vAlign w:val="center"/>
          </w:tcPr>
          <w:p w:rsidR="004360EE" w:rsidRPr="00DD252F" w:rsidRDefault="00353BAE" w:rsidP="00860B69">
            <w:pPr>
              <w:tabs>
                <w:tab w:val="left" w:pos="315"/>
                <w:tab w:val="center" w:pos="530"/>
              </w:tabs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1 879,18</w:t>
            </w:r>
          </w:p>
        </w:tc>
      </w:tr>
      <w:tr w:rsidR="004360EE" w:rsidRPr="00DD252F" w:rsidTr="00860B69">
        <w:trPr>
          <w:trHeight w:val="257"/>
        </w:trPr>
        <w:tc>
          <w:tcPr>
            <w:tcW w:w="4882" w:type="dxa"/>
          </w:tcPr>
          <w:p w:rsidR="004360EE" w:rsidRPr="00DD252F" w:rsidRDefault="004360EE" w:rsidP="003D7B67">
            <w:r w:rsidRPr="00DD252F">
              <w:t>- молоко,  тонн</w:t>
            </w:r>
          </w:p>
        </w:tc>
        <w:tc>
          <w:tcPr>
            <w:tcW w:w="1639" w:type="dxa"/>
            <w:vAlign w:val="center"/>
          </w:tcPr>
          <w:p w:rsidR="004360EE" w:rsidRPr="00DD252F" w:rsidRDefault="000129EF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4 869,61</w:t>
            </w:r>
          </w:p>
        </w:tc>
        <w:tc>
          <w:tcPr>
            <w:tcW w:w="1417" w:type="dxa"/>
            <w:vAlign w:val="center"/>
          </w:tcPr>
          <w:p w:rsidR="004360EE" w:rsidRPr="00DD252F" w:rsidRDefault="000129EF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4 998,14</w:t>
            </w:r>
          </w:p>
        </w:tc>
        <w:tc>
          <w:tcPr>
            <w:tcW w:w="1276" w:type="dxa"/>
            <w:vAlign w:val="center"/>
          </w:tcPr>
          <w:p w:rsidR="004360EE" w:rsidRPr="00DD252F" w:rsidRDefault="000129EF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5 158,14</w:t>
            </w:r>
          </w:p>
        </w:tc>
      </w:tr>
      <w:tr w:rsidR="004360EE" w:rsidRPr="00DD252F" w:rsidTr="00860B69">
        <w:trPr>
          <w:trHeight w:val="545"/>
        </w:trPr>
        <w:tc>
          <w:tcPr>
            <w:tcW w:w="4882" w:type="dxa"/>
          </w:tcPr>
          <w:p w:rsidR="004360EE" w:rsidRPr="00DD252F" w:rsidRDefault="004360EE" w:rsidP="003D7B67">
            <w:proofErr w:type="gramStart"/>
            <w:r w:rsidRPr="00DD252F">
              <w:t>-производство зерна (в весе после доработки, тонн</w:t>
            </w:r>
            <w:proofErr w:type="gramEnd"/>
          </w:p>
        </w:tc>
        <w:tc>
          <w:tcPr>
            <w:tcW w:w="1639" w:type="dxa"/>
            <w:vAlign w:val="center"/>
          </w:tcPr>
          <w:p w:rsidR="004360EE" w:rsidRPr="00DD252F" w:rsidRDefault="00514A11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30 490,53</w:t>
            </w:r>
          </w:p>
        </w:tc>
        <w:tc>
          <w:tcPr>
            <w:tcW w:w="1417" w:type="dxa"/>
            <w:vAlign w:val="center"/>
          </w:tcPr>
          <w:p w:rsidR="004360EE" w:rsidRPr="00DD252F" w:rsidRDefault="00514A11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31 295,27</w:t>
            </w:r>
          </w:p>
        </w:tc>
        <w:tc>
          <w:tcPr>
            <w:tcW w:w="1276" w:type="dxa"/>
            <w:vAlign w:val="center"/>
          </w:tcPr>
          <w:p w:rsidR="004360EE" w:rsidRPr="00DD252F" w:rsidRDefault="00514A11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32 487,47</w:t>
            </w:r>
          </w:p>
        </w:tc>
      </w:tr>
      <w:tr w:rsidR="004360EE" w:rsidRPr="00DD252F" w:rsidTr="00860B69">
        <w:trPr>
          <w:trHeight w:val="270"/>
        </w:trPr>
        <w:tc>
          <w:tcPr>
            <w:tcW w:w="4882" w:type="dxa"/>
          </w:tcPr>
          <w:p w:rsidR="004360EE" w:rsidRPr="00DD252F" w:rsidRDefault="004360EE" w:rsidP="003D7B67">
            <w:r w:rsidRPr="00DD252F">
              <w:t>-производство картофеля, тонн</w:t>
            </w:r>
          </w:p>
        </w:tc>
        <w:tc>
          <w:tcPr>
            <w:tcW w:w="1639" w:type="dxa"/>
            <w:vAlign w:val="center"/>
          </w:tcPr>
          <w:p w:rsidR="004360EE" w:rsidRPr="00DD252F" w:rsidRDefault="00D765E9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9 367,79</w:t>
            </w:r>
          </w:p>
        </w:tc>
        <w:tc>
          <w:tcPr>
            <w:tcW w:w="1417" w:type="dxa"/>
            <w:vAlign w:val="center"/>
          </w:tcPr>
          <w:p w:rsidR="004360EE" w:rsidRPr="00DD252F" w:rsidRDefault="00D765E9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9 615,04</w:t>
            </w:r>
          </w:p>
        </w:tc>
        <w:tc>
          <w:tcPr>
            <w:tcW w:w="1276" w:type="dxa"/>
            <w:vAlign w:val="center"/>
          </w:tcPr>
          <w:p w:rsidR="004360EE" w:rsidRPr="00DD252F" w:rsidRDefault="00D765E9" w:rsidP="00860B6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9 981,33</w:t>
            </w:r>
          </w:p>
        </w:tc>
      </w:tr>
      <w:tr w:rsidR="0078762F" w:rsidRPr="00DD252F" w:rsidTr="003379E6">
        <w:trPr>
          <w:trHeight w:val="297"/>
        </w:trPr>
        <w:tc>
          <w:tcPr>
            <w:tcW w:w="9214" w:type="dxa"/>
            <w:gridSpan w:val="4"/>
          </w:tcPr>
          <w:p w:rsidR="0078762F" w:rsidRPr="00DD252F" w:rsidRDefault="0078762F" w:rsidP="003D7B67">
            <w:pPr>
              <w:jc w:val="left"/>
              <w:rPr>
                <w:rFonts w:ascii="Times New Roman CYR" w:hAnsi="Times New Roman CYR" w:cs="Times New Roman CYR"/>
                <w:b/>
              </w:rPr>
            </w:pPr>
            <w:r w:rsidRPr="00DD252F">
              <w:rPr>
                <w:rFonts w:ascii="Times New Roman CYR" w:hAnsi="Times New Roman CYR" w:cs="Times New Roman CYR"/>
                <w:b/>
              </w:rPr>
              <w:t>Лесоводство и лесозаготовки</w:t>
            </w:r>
          </w:p>
        </w:tc>
      </w:tr>
      <w:tr w:rsidR="0078762F" w:rsidRPr="00DD252F" w:rsidTr="003379E6">
        <w:trPr>
          <w:trHeight w:val="728"/>
        </w:trPr>
        <w:tc>
          <w:tcPr>
            <w:tcW w:w="4882" w:type="dxa"/>
          </w:tcPr>
          <w:p w:rsidR="0078762F" w:rsidRPr="00DD252F" w:rsidRDefault="0078762F" w:rsidP="003D7B67">
            <w:r w:rsidRPr="00DD252F"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A-02: Лесоводство и лесозаготовки, тыс. рублей</w:t>
            </w:r>
          </w:p>
        </w:tc>
        <w:tc>
          <w:tcPr>
            <w:tcW w:w="1639" w:type="dxa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4D62F3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179,66</w:t>
            </w:r>
          </w:p>
        </w:tc>
        <w:tc>
          <w:tcPr>
            <w:tcW w:w="1417" w:type="dxa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4D62F3" w:rsidP="004D62F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180,20</w:t>
            </w:r>
          </w:p>
        </w:tc>
        <w:tc>
          <w:tcPr>
            <w:tcW w:w="1276" w:type="dxa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AA070B" w:rsidRPr="00DD252F" w:rsidRDefault="00AA070B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AA070B" w:rsidRPr="00DD252F" w:rsidRDefault="00AA070B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AA070B" w:rsidRPr="00DD252F" w:rsidRDefault="004D62F3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181,92</w:t>
            </w: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8762F" w:rsidRPr="00DD252F" w:rsidTr="003379E6">
        <w:trPr>
          <w:trHeight w:val="728"/>
        </w:trPr>
        <w:tc>
          <w:tcPr>
            <w:tcW w:w="4882" w:type="dxa"/>
          </w:tcPr>
          <w:p w:rsidR="0078762F" w:rsidRPr="00DD252F" w:rsidRDefault="0078762F" w:rsidP="003D7B67">
            <w:r w:rsidRPr="00DD252F"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1639" w:type="dxa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AC229A" w:rsidP="00AC229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100,67</w:t>
            </w:r>
          </w:p>
        </w:tc>
        <w:tc>
          <w:tcPr>
            <w:tcW w:w="1417" w:type="dxa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AC229A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100,3</w:t>
            </w:r>
            <w:r w:rsidR="006158BF" w:rsidRPr="00DD252F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78762F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8762F" w:rsidRPr="00DD252F" w:rsidRDefault="00131A5D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100,95</w:t>
            </w:r>
          </w:p>
        </w:tc>
      </w:tr>
      <w:tr w:rsidR="0078762F" w:rsidRPr="00DD252F" w:rsidTr="003379E6">
        <w:trPr>
          <w:trHeight w:val="70"/>
        </w:trPr>
        <w:tc>
          <w:tcPr>
            <w:tcW w:w="4882" w:type="dxa"/>
          </w:tcPr>
          <w:p w:rsidR="0078762F" w:rsidRPr="00DD252F" w:rsidRDefault="0078762F" w:rsidP="003D7B67">
            <w:pPr>
              <w:rPr>
                <w:sz w:val="22"/>
                <w:szCs w:val="22"/>
              </w:rPr>
            </w:pPr>
            <w:r w:rsidRPr="00DD252F">
              <w:rPr>
                <w:sz w:val="22"/>
                <w:szCs w:val="22"/>
              </w:rPr>
              <w:t>Оборот розничной торговли, тыс. рублей</w:t>
            </w:r>
          </w:p>
        </w:tc>
        <w:tc>
          <w:tcPr>
            <w:tcW w:w="1639" w:type="dxa"/>
            <w:vAlign w:val="center"/>
          </w:tcPr>
          <w:p w:rsidR="0078762F" w:rsidRPr="00DD252F" w:rsidRDefault="00BD50F3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1 388 032</w:t>
            </w:r>
            <w:r w:rsidR="00F51156" w:rsidRPr="00DD252F">
              <w:rPr>
                <w:rFonts w:ascii="Times New Roman CYR" w:hAnsi="Times New Roman CYR" w:cs="Times New Roman CYR"/>
                <w:sz w:val="20"/>
                <w:szCs w:val="20"/>
              </w:rPr>
              <w:t>,90</w:t>
            </w:r>
          </w:p>
        </w:tc>
        <w:tc>
          <w:tcPr>
            <w:tcW w:w="1417" w:type="dxa"/>
            <w:vAlign w:val="center"/>
          </w:tcPr>
          <w:p w:rsidR="0078762F" w:rsidRPr="00DD252F" w:rsidRDefault="00BD50F3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1 503 458,3</w:t>
            </w:r>
            <w:r w:rsidR="00F51156" w:rsidRPr="00DD252F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78762F" w:rsidRPr="00DD252F" w:rsidRDefault="00BD50F3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1 617 953,2</w:t>
            </w:r>
            <w:r w:rsidR="00F51156" w:rsidRPr="00DD252F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pPr>
              <w:rPr>
                <w:sz w:val="22"/>
                <w:szCs w:val="22"/>
              </w:rPr>
            </w:pPr>
            <w:r w:rsidRPr="00DD252F">
              <w:rPr>
                <w:sz w:val="22"/>
                <w:szCs w:val="22"/>
              </w:rPr>
              <w:t>Темп роста оборота розничной торговли в сопоставимых ценах, к соответствующему периоду предыдущего года, %</w:t>
            </w:r>
          </w:p>
        </w:tc>
        <w:tc>
          <w:tcPr>
            <w:tcW w:w="1639" w:type="dxa"/>
            <w:vAlign w:val="center"/>
          </w:tcPr>
          <w:p w:rsidR="0078762F" w:rsidRPr="00DD252F" w:rsidRDefault="005F3798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105,35</w:t>
            </w:r>
          </w:p>
        </w:tc>
        <w:tc>
          <w:tcPr>
            <w:tcW w:w="1417" w:type="dxa"/>
            <w:vAlign w:val="center"/>
          </w:tcPr>
          <w:p w:rsidR="0078762F" w:rsidRPr="00DD252F" w:rsidRDefault="005F3798" w:rsidP="005D2B8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104</w:t>
            </w:r>
            <w:r w:rsidR="0027019C" w:rsidRPr="00DD252F">
              <w:rPr>
                <w:rFonts w:ascii="Times New Roman CYR" w:hAnsi="Times New Roman CYR" w:cs="Times New Roman CYR"/>
                <w:sz w:val="20"/>
                <w:szCs w:val="20"/>
              </w:rPr>
              <w:t>,</w:t>
            </w: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center"/>
          </w:tcPr>
          <w:p w:rsidR="0078762F" w:rsidRPr="00DD252F" w:rsidRDefault="005F3798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103,6</w:t>
            </w:r>
            <w:r w:rsidR="005D2B8F" w:rsidRPr="00DD252F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</w:tr>
      <w:tr w:rsidR="0078762F" w:rsidRPr="00DD252F" w:rsidTr="00860B69">
        <w:tc>
          <w:tcPr>
            <w:tcW w:w="4882" w:type="dxa"/>
          </w:tcPr>
          <w:p w:rsidR="0078762F" w:rsidRPr="00DD252F" w:rsidRDefault="0078762F" w:rsidP="003D7B67">
            <w:r w:rsidRPr="00DD252F">
              <w:t>Оборот общественного питания, тыс. рублей</w:t>
            </w:r>
          </w:p>
        </w:tc>
        <w:tc>
          <w:tcPr>
            <w:tcW w:w="1639" w:type="dxa"/>
            <w:vAlign w:val="center"/>
          </w:tcPr>
          <w:p w:rsidR="0078762F" w:rsidRPr="00DD252F" w:rsidRDefault="00EA1C8D" w:rsidP="00860B69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50 237</w:t>
            </w:r>
            <w:r w:rsidR="00F91422" w:rsidRPr="00DD252F">
              <w:rPr>
                <w:sz w:val="20"/>
                <w:szCs w:val="20"/>
              </w:rPr>
              <w:t>,80</w:t>
            </w:r>
          </w:p>
        </w:tc>
        <w:tc>
          <w:tcPr>
            <w:tcW w:w="1417" w:type="dxa"/>
            <w:vAlign w:val="center"/>
          </w:tcPr>
          <w:p w:rsidR="0078762F" w:rsidRPr="00DD252F" w:rsidRDefault="00EA1C8D" w:rsidP="00860B69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53 291,2</w:t>
            </w:r>
            <w:r w:rsidR="00F91422" w:rsidRPr="00DD252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78762F" w:rsidRPr="00DD252F" w:rsidRDefault="00EA1C8D" w:rsidP="00860B69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56 584,5</w:t>
            </w:r>
            <w:r w:rsidR="00F91422" w:rsidRPr="00DD252F">
              <w:rPr>
                <w:sz w:val="20"/>
                <w:szCs w:val="20"/>
              </w:rPr>
              <w:t>0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r w:rsidRPr="00DD252F">
              <w:t>Темп роста оборота общественного питания в сопоставимых ценах, к соответствующему периоду предыдущего года, %</w:t>
            </w:r>
          </w:p>
        </w:tc>
        <w:tc>
          <w:tcPr>
            <w:tcW w:w="1639" w:type="dxa"/>
            <w:vAlign w:val="center"/>
          </w:tcPr>
          <w:p w:rsidR="0078762F" w:rsidRPr="00DD252F" w:rsidRDefault="00C50E1F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103,10</w:t>
            </w:r>
          </w:p>
        </w:tc>
        <w:tc>
          <w:tcPr>
            <w:tcW w:w="1417" w:type="dxa"/>
            <w:vAlign w:val="center"/>
          </w:tcPr>
          <w:p w:rsidR="0078762F" w:rsidRPr="00DD252F" w:rsidRDefault="00C50E1F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101,90</w:t>
            </w:r>
          </w:p>
        </w:tc>
        <w:tc>
          <w:tcPr>
            <w:tcW w:w="1276" w:type="dxa"/>
            <w:vAlign w:val="center"/>
          </w:tcPr>
          <w:p w:rsidR="0078762F" w:rsidRPr="00DD252F" w:rsidRDefault="00C50E1F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101,90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r w:rsidRPr="00DD252F">
              <w:t>Объем платных услуг, оказанных населению, тыс. рублей</w:t>
            </w:r>
          </w:p>
        </w:tc>
        <w:tc>
          <w:tcPr>
            <w:tcW w:w="1639" w:type="dxa"/>
            <w:vAlign w:val="center"/>
          </w:tcPr>
          <w:p w:rsidR="0078762F" w:rsidRPr="00DD252F" w:rsidRDefault="006A468B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189 415,13</w:t>
            </w:r>
          </w:p>
        </w:tc>
        <w:tc>
          <w:tcPr>
            <w:tcW w:w="1417" w:type="dxa"/>
            <w:vAlign w:val="center"/>
          </w:tcPr>
          <w:p w:rsidR="0078762F" w:rsidRPr="00DD252F" w:rsidRDefault="006A468B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200 138,86</w:t>
            </w:r>
          </w:p>
        </w:tc>
        <w:tc>
          <w:tcPr>
            <w:tcW w:w="1276" w:type="dxa"/>
            <w:vAlign w:val="center"/>
          </w:tcPr>
          <w:p w:rsidR="00DE019D" w:rsidRPr="00DD252F" w:rsidRDefault="006A468B" w:rsidP="00DE019D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212 298,00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r w:rsidRPr="00DD252F">
              <w:t>Темп роста объема платных услуг, оказанных населению в сопоставимых ценах, к соответствующему периоду предыдущего года, %</w:t>
            </w:r>
          </w:p>
        </w:tc>
        <w:tc>
          <w:tcPr>
            <w:tcW w:w="1639" w:type="dxa"/>
            <w:vAlign w:val="center"/>
          </w:tcPr>
          <w:p w:rsidR="0078762F" w:rsidRPr="00DD252F" w:rsidRDefault="006A468B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102,50</w:t>
            </w:r>
          </w:p>
        </w:tc>
        <w:tc>
          <w:tcPr>
            <w:tcW w:w="1417" w:type="dxa"/>
            <w:vAlign w:val="center"/>
          </w:tcPr>
          <w:p w:rsidR="0078762F" w:rsidRPr="00DD252F" w:rsidRDefault="00DE019D" w:rsidP="006B01F3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101,50</w:t>
            </w:r>
          </w:p>
        </w:tc>
        <w:tc>
          <w:tcPr>
            <w:tcW w:w="1276" w:type="dxa"/>
            <w:vAlign w:val="center"/>
          </w:tcPr>
          <w:p w:rsidR="00DE019D" w:rsidRPr="00DD252F" w:rsidRDefault="006A468B" w:rsidP="00DE019D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101,80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pPr>
              <w:rPr>
                <w:iCs/>
                <w:sz w:val="22"/>
                <w:szCs w:val="22"/>
              </w:rPr>
            </w:pPr>
            <w:r w:rsidRPr="00DD252F">
              <w:rPr>
                <w:sz w:val="22"/>
                <w:szCs w:val="22"/>
              </w:rPr>
              <w:t xml:space="preserve">Объем инвестиций в основной капитал за счет </w:t>
            </w:r>
            <w:r w:rsidRPr="00DD252F">
              <w:rPr>
                <w:sz w:val="22"/>
                <w:szCs w:val="22"/>
              </w:rPr>
              <w:lastRenderedPageBreak/>
              <w:t>всех источников финансирования по полному кругу хозяйствующих субъектов                          тыс. руб.</w:t>
            </w:r>
          </w:p>
        </w:tc>
        <w:tc>
          <w:tcPr>
            <w:tcW w:w="1639" w:type="dxa"/>
            <w:vAlign w:val="center"/>
          </w:tcPr>
          <w:p w:rsidR="0078762F" w:rsidRPr="00DD252F" w:rsidRDefault="000752BA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125 568,00</w:t>
            </w:r>
          </w:p>
        </w:tc>
        <w:tc>
          <w:tcPr>
            <w:tcW w:w="1417" w:type="dxa"/>
            <w:vAlign w:val="center"/>
          </w:tcPr>
          <w:p w:rsidR="0078762F" w:rsidRPr="00DD252F" w:rsidRDefault="000752BA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123 840,0</w:t>
            </w:r>
            <w:r w:rsidR="00AA0B6D" w:rsidRPr="00DD252F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78762F" w:rsidRPr="00DD252F" w:rsidRDefault="000752BA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126 158</w:t>
            </w:r>
            <w:r w:rsidR="00B67994" w:rsidRPr="00DD252F">
              <w:rPr>
                <w:rFonts w:ascii="Times New Roman CYR" w:hAnsi="Times New Roman CYR" w:cs="Times New Roman CYR"/>
                <w:sz w:val="20"/>
                <w:szCs w:val="20"/>
              </w:rPr>
              <w:t>,6</w:t>
            </w:r>
            <w:r w:rsidR="00AA0B6D" w:rsidRPr="00DD252F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pPr>
              <w:rPr>
                <w:sz w:val="22"/>
                <w:szCs w:val="22"/>
              </w:rPr>
            </w:pPr>
            <w:r w:rsidRPr="00DD252F">
              <w:rPr>
                <w:sz w:val="22"/>
                <w:szCs w:val="22"/>
              </w:rPr>
              <w:lastRenderedPageBreak/>
              <w:t>Темп роста объема инвестиций в основной капитал за счет всех источников финансирования по полному кругу хозяйствующих субъектов в сопоставимых ценах, к соответствующему периоду предыдущего года, %</w:t>
            </w:r>
          </w:p>
        </w:tc>
        <w:tc>
          <w:tcPr>
            <w:tcW w:w="1639" w:type="dxa"/>
            <w:vAlign w:val="center"/>
          </w:tcPr>
          <w:p w:rsidR="0078762F" w:rsidRPr="00DD252F" w:rsidRDefault="008E7DD9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75,53</w:t>
            </w:r>
          </w:p>
        </w:tc>
        <w:tc>
          <w:tcPr>
            <w:tcW w:w="1417" w:type="dxa"/>
            <w:vAlign w:val="center"/>
          </w:tcPr>
          <w:p w:rsidR="0078762F" w:rsidRPr="00DD252F" w:rsidRDefault="008E7DD9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92,94</w:t>
            </w:r>
          </w:p>
        </w:tc>
        <w:tc>
          <w:tcPr>
            <w:tcW w:w="1276" w:type="dxa"/>
            <w:vAlign w:val="center"/>
          </w:tcPr>
          <w:p w:rsidR="0078762F" w:rsidRPr="00DD252F" w:rsidRDefault="008E7DD9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97,14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r w:rsidRPr="00DD252F">
              <w:t>Общая площадь жилых домов, введенных в эксплуатацию за счет всех источников, финансирования,  кв.</w:t>
            </w:r>
            <w:r w:rsidR="00C103E1" w:rsidRPr="00DD252F">
              <w:t xml:space="preserve"> </w:t>
            </w:r>
            <w:r w:rsidRPr="00DD252F">
              <w:t>м</w:t>
            </w:r>
            <w:r w:rsidR="00C103E1" w:rsidRPr="00DD252F">
              <w:t>.</w:t>
            </w:r>
          </w:p>
        </w:tc>
        <w:tc>
          <w:tcPr>
            <w:tcW w:w="1639" w:type="dxa"/>
            <w:vAlign w:val="center"/>
          </w:tcPr>
          <w:p w:rsidR="0078762F" w:rsidRPr="00DD252F" w:rsidRDefault="00B52729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4 580</w:t>
            </w:r>
            <w:r w:rsidR="00AA0B6D" w:rsidRPr="00DD252F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center"/>
          </w:tcPr>
          <w:p w:rsidR="0078762F" w:rsidRPr="00DD252F" w:rsidRDefault="00B52729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4 611</w:t>
            </w:r>
            <w:r w:rsidR="00AA0B6D" w:rsidRPr="00DD252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:rsidR="00AA0B6D" w:rsidRPr="00DD252F" w:rsidRDefault="00B52729" w:rsidP="00AA0B6D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4 642</w:t>
            </w:r>
            <w:r w:rsidR="00AA0B6D" w:rsidRPr="00DD252F">
              <w:rPr>
                <w:sz w:val="20"/>
                <w:szCs w:val="20"/>
              </w:rPr>
              <w:t>,00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r w:rsidRPr="00DD252F">
              <w:t>Темп роста объема общей площади жилых домов, введенных в эксплуатацию в отчетном периоде за счет всех источников финансирования, к соответствующему периоду предыдущего года, %</w:t>
            </w:r>
          </w:p>
        </w:tc>
        <w:tc>
          <w:tcPr>
            <w:tcW w:w="1639" w:type="dxa"/>
            <w:vAlign w:val="center"/>
          </w:tcPr>
          <w:p w:rsidR="0078762F" w:rsidRPr="00DD252F" w:rsidRDefault="00AA0B6D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100,00</w:t>
            </w:r>
          </w:p>
        </w:tc>
        <w:tc>
          <w:tcPr>
            <w:tcW w:w="1417" w:type="dxa"/>
            <w:vAlign w:val="center"/>
          </w:tcPr>
          <w:p w:rsidR="0078762F" w:rsidRPr="00DD252F" w:rsidRDefault="00CA34CD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100,68</w:t>
            </w:r>
          </w:p>
        </w:tc>
        <w:tc>
          <w:tcPr>
            <w:tcW w:w="1276" w:type="dxa"/>
            <w:vAlign w:val="center"/>
          </w:tcPr>
          <w:p w:rsidR="0078762F" w:rsidRPr="00DD252F" w:rsidRDefault="00CA34CD" w:rsidP="00C8489A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100,67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pPr>
              <w:rPr>
                <w:sz w:val="22"/>
                <w:szCs w:val="22"/>
              </w:rPr>
            </w:pPr>
            <w:r w:rsidRPr="00DD252F">
              <w:rPr>
                <w:sz w:val="22"/>
                <w:szCs w:val="22"/>
              </w:rPr>
              <w:t>Фонд заработной платы работников списочного состава организаций и внешних совместителей по полному кругу организаций (тыс. руб</w:t>
            </w:r>
            <w:r w:rsidR="00C103E1" w:rsidRPr="00DD252F">
              <w:rPr>
                <w:sz w:val="22"/>
                <w:szCs w:val="22"/>
              </w:rPr>
              <w:t>.</w:t>
            </w:r>
            <w:r w:rsidRPr="00DD252F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39" w:type="dxa"/>
            <w:vAlign w:val="center"/>
          </w:tcPr>
          <w:p w:rsidR="0078762F" w:rsidRPr="00DD252F" w:rsidRDefault="00980E2C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2 000 513,80</w:t>
            </w:r>
          </w:p>
        </w:tc>
        <w:tc>
          <w:tcPr>
            <w:tcW w:w="1417" w:type="dxa"/>
            <w:vAlign w:val="center"/>
          </w:tcPr>
          <w:p w:rsidR="0078762F" w:rsidRPr="00DD252F" w:rsidRDefault="00980E2C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2 140 549,77</w:t>
            </w:r>
          </w:p>
        </w:tc>
        <w:tc>
          <w:tcPr>
            <w:tcW w:w="1276" w:type="dxa"/>
            <w:vAlign w:val="center"/>
          </w:tcPr>
          <w:p w:rsidR="0078762F" w:rsidRPr="00DD252F" w:rsidRDefault="00980E2C" w:rsidP="00E7414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2 281 826,0</w:t>
            </w:r>
            <w:r w:rsidR="00E7414F" w:rsidRPr="00DD252F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pPr>
              <w:rPr>
                <w:sz w:val="22"/>
                <w:szCs w:val="22"/>
              </w:rPr>
            </w:pPr>
            <w:r w:rsidRPr="00DD252F">
              <w:rPr>
                <w:sz w:val="22"/>
                <w:szCs w:val="22"/>
              </w:rPr>
              <w:t>Среднемесячная заработная плата работников списочного состава организаций и внешних совместителей по полному кругу организаций</w:t>
            </w:r>
          </w:p>
          <w:p w:rsidR="0078762F" w:rsidRPr="00DD252F" w:rsidRDefault="0078762F" w:rsidP="003D7B67">
            <w:r w:rsidRPr="00DD252F">
              <w:rPr>
                <w:sz w:val="22"/>
                <w:szCs w:val="22"/>
              </w:rPr>
              <w:t xml:space="preserve"> ( руб</w:t>
            </w:r>
            <w:r w:rsidR="00640FE1" w:rsidRPr="00DD252F">
              <w:rPr>
                <w:sz w:val="22"/>
                <w:szCs w:val="22"/>
              </w:rPr>
              <w:t>.</w:t>
            </w:r>
            <w:r w:rsidRPr="00DD252F">
              <w:rPr>
                <w:sz w:val="22"/>
                <w:szCs w:val="22"/>
              </w:rPr>
              <w:t>)</w:t>
            </w:r>
          </w:p>
        </w:tc>
        <w:tc>
          <w:tcPr>
            <w:tcW w:w="1639" w:type="dxa"/>
            <w:vAlign w:val="center"/>
          </w:tcPr>
          <w:p w:rsidR="001D1291" w:rsidRPr="00DD252F" w:rsidRDefault="00402C66" w:rsidP="001D1291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63 123,68</w:t>
            </w:r>
          </w:p>
        </w:tc>
        <w:tc>
          <w:tcPr>
            <w:tcW w:w="1417" w:type="dxa"/>
            <w:vAlign w:val="center"/>
          </w:tcPr>
          <w:p w:rsidR="001D1291" w:rsidRPr="00DD252F" w:rsidRDefault="00402C66" w:rsidP="001D1291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67 542,34</w:t>
            </w:r>
          </w:p>
        </w:tc>
        <w:tc>
          <w:tcPr>
            <w:tcW w:w="1276" w:type="dxa"/>
            <w:vAlign w:val="center"/>
          </w:tcPr>
          <w:p w:rsidR="0078762F" w:rsidRPr="00DD252F" w:rsidRDefault="00402C66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72 000,13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pPr>
              <w:rPr>
                <w:sz w:val="22"/>
                <w:szCs w:val="22"/>
              </w:rPr>
            </w:pPr>
            <w:r w:rsidRPr="00DD252F">
              <w:rPr>
                <w:sz w:val="22"/>
                <w:szCs w:val="22"/>
              </w:rPr>
              <w:t>Темп роста среднемесячной заработной платы работников списочного состава организаций и внешних совместителей по полному кругу организаций в действующих ценах (номинальный), к соответствующему периоду предыдущего года, %</w:t>
            </w:r>
          </w:p>
        </w:tc>
        <w:tc>
          <w:tcPr>
            <w:tcW w:w="1639" w:type="dxa"/>
            <w:vAlign w:val="center"/>
          </w:tcPr>
          <w:p w:rsidR="0078762F" w:rsidRPr="00DD252F" w:rsidRDefault="00C40A65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108,80</w:t>
            </w:r>
          </w:p>
        </w:tc>
        <w:tc>
          <w:tcPr>
            <w:tcW w:w="1417" w:type="dxa"/>
            <w:vAlign w:val="center"/>
          </w:tcPr>
          <w:p w:rsidR="0078762F" w:rsidRPr="00DD252F" w:rsidRDefault="00C40A65" w:rsidP="00AD4371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107,00</w:t>
            </w:r>
          </w:p>
        </w:tc>
        <w:tc>
          <w:tcPr>
            <w:tcW w:w="1276" w:type="dxa"/>
            <w:vAlign w:val="center"/>
          </w:tcPr>
          <w:p w:rsidR="0078762F" w:rsidRPr="00DD252F" w:rsidRDefault="00C40A65" w:rsidP="00AD4371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106,40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r w:rsidRPr="00DD252F">
              <w:t>Среднедушевые денежные доходы за месяц (</w:t>
            </w:r>
            <w:proofErr w:type="spellStart"/>
            <w:r w:rsidRPr="00DD252F">
              <w:t>руб</w:t>
            </w:r>
            <w:proofErr w:type="spellEnd"/>
            <w:r w:rsidRPr="00DD252F">
              <w:t>)</w:t>
            </w:r>
          </w:p>
        </w:tc>
        <w:tc>
          <w:tcPr>
            <w:tcW w:w="1639" w:type="dxa"/>
            <w:vAlign w:val="center"/>
          </w:tcPr>
          <w:p w:rsidR="001D1291" w:rsidRPr="00DD252F" w:rsidRDefault="00632E2B" w:rsidP="001D1291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31 772,31</w:t>
            </w:r>
          </w:p>
        </w:tc>
        <w:tc>
          <w:tcPr>
            <w:tcW w:w="1417" w:type="dxa"/>
            <w:vAlign w:val="center"/>
          </w:tcPr>
          <w:p w:rsidR="0078762F" w:rsidRPr="00DD252F" w:rsidRDefault="00632E2B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33 996, 37</w:t>
            </w:r>
          </w:p>
        </w:tc>
        <w:tc>
          <w:tcPr>
            <w:tcW w:w="1276" w:type="dxa"/>
            <w:vAlign w:val="center"/>
          </w:tcPr>
          <w:p w:rsidR="001D1291" w:rsidRPr="00DD252F" w:rsidRDefault="00632E2B" w:rsidP="001D1291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36 240,1</w:t>
            </w:r>
            <w:r w:rsidR="001D1291" w:rsidRPr="00DD252F">
              <w:rPr>
                <w:sz w:val="20"/>
                <w:szCs w:val="20"/>
              </w:rPr>
              <w:t>3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r w:rsidRPr="00DD252F">
              <w:t xml:space="preserve">Темп роста среднедушевого денежного дохода в действующих ценах (номинальный), к соответствующему периоду предыдущего года, % </w:t>
            </w:r>
          </w:p>
        </w:tc>
        <w:tc>
          <w:tcPr>
            <w:tcW w:w="1639" w:type="dxa"/>
            <w:vAlign w:val="center"/>
          </w:tcPr>
          <w:p w:rsidR="0078762F" w:rsidRPr="00DD252F" w:rsidRDefault="003428FE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108,80</w:t>
            </w:r>
          </w:p>
        </w:tc>
        <w:tc>
          <w:tcPr>
            <w:tcW w:w="1417" w:type="dxa"/>
            <w:vAlign w:val="center"/>
          </w:tcPr>
          <w:p w:rsidR="0078762F" w:rsidRPr="00DD252F" w:rsidRDefault="00C0503C" w:rsidP="001D1291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107,</w:t>
            </w:r>
            <w:r w:rsidR="001D1291" w:rsidRPr="00DD252F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vAlign w:val="center"/>
          </w:tcPr>
          <w:p w:rsidR="0078762F" w:rsidRPr="00DD252F" w:rsidRDefault="007A4EE0" w:rsidP="00AD4371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106,</w:t>
            </w:r>
            <w:r w:rsidR="001D1291" w:rsidRPr="00DD252F">
              <w:rPr>
                <w:sz w:val="20"/>
                <w:szCs w:val="20"/>
              </w:rPr>
              <w:t>60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r w:rsidRPr="00DD252F">
              <w:t xml:space="preserve">Темп роста среднедушевого денежного дохода в сопоставимых ценах (реальный), к соответствующему периоду предыдущего года, % </w:t>
            </w:r>
          </w:p>
        </w:tc>
        <w:tc>
          <w:tcPr>
            <w:tcW w:w="1639" w:type="dxa"/>
            <w:vAlign w:val="center"/>
          </w:tcPr>
          <w:p w:rsidR="0078762F" w:rsidRPr="00DD252F" w:rsidRDefault="003428FE" w:rsidP="001D1291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103</w:t>
            </w:r>
            <w:r w:rsidR="00AD4371" w:rsidRPr="00DD252F">
              <w:rPr>
                <w:sz w:val="20"/>
                <w:szCs w:val="20"/>
              </w:rPr>
              <w:t>,</w:t>
            </w:r>
            <w:r w:rsidRPr="00DD252F">
              <w:rPr>
                <w:sz w:val="20"/>
                <w:szCs w:val="20"/>
              </w:rPr>
              <w:t>62</w:t>
            </w:r>
          </w:p>
        </w:tc>
        <w:tc>
          <w:tcPr>
            <w:tcW w:w="1417" w:type="dxa"/>
            <w:vAlign w:val="center"/>
          </w:tcPr>
          <w:p w:rsidR="0078762F" w:rsidRPr="00DD252F" w:rsidRDefault="001D1291" w:rsidP="003D7B67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102,88</w:t>
            </w:r>
          </w:p>
        </w:tc>
        <w:tc>
          <w:tcPr>
            <w:tcW w:w="1276" w:type="dxa"/>
            <w:vAlign w:val="center"/>
          </w:tcPr>
          <w:p w:rsidR="0078762F" w:rsidRPr="00DD252F" w:rsidRDefault="001D1291" w:rsidP="00AD4371">
            <w:pPr>
              <w:jc w:val="center"/>
              <w:rPr>
                <w:sz w:val="20"/>
                <w:szCs w:val="20"/>
              </w:rPr>
            </w:pPr>
            <w:r w:rsidRPr="00DD252F">
              <w:rPr>
                <w:sz w:val="20"/>
                <w:szCs w:val="20"/>
              </w:rPr>
              <w:t>102,50</w:t>
            </w:r>
          </w:p>
        </w:tc>
      </w:tr>
      <w:tr w:rsidR="0078762F" w:rsidRPr="00DD252F" w:rsidTr="003379E6">
        <w:tc>
          <w:tcPr>
            <w:tcW w:w="4882" w:type="dxa"/>
          </w:tcPr>
          <w:p w:rsidR="0078762F" w:rsidRPr="00DD252F" w:rsidRDefault="0078762F" w:rsidP="003D7B67">
            <w:r w:rsidRPr="00DD252F">
              <w:t>Уровень регистрируемой безработицы (к трудоспособному населению в трудоспособном возрасте)</w:t>
            </w:r>
            <w:r w:rsidR="005D3C3C" w:rsidRPr="00DD252F">
              <w:t>,</w:t>
            </w:r>
            <w:r w:rsidRPr="00DD252F">
              <w:t xml:space="preserve">                             </w:t>
            </w:r>
            <w:r w:rsidR="005D3C3C" w:rsidRPr="00DD252F">
              <w:t xml:space="preserve">                             %</w:t>
            </w:r>
          </w:p>
        </w:tc>
        <w:tc>
          <w:tcPr>
            <w:tcW w:w="1639" w:type="dxa"/>
            <w:vAlign w:val="center"/>
          </w:tcPr>
          <w:p w:rsidR="0078762F" w:rsidRPr="00DD252F" w:rsidRDefault="00B424B9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2,90</w:t>
            </w:r>
          </w:p>
        </w:tc>
        <w:tc>
          <w:tcPr>
            <w:tcW w:w="1417" w:type="dxa"/>
            <w:vAlign w:val="center"/>
          </w:tcPr>
          <w:p w:rsidR="0078762F" w:rsidRPr="00DD252F" w:rsidRDefault="00B424B9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2,90</w:t>
            </w:r>
          </w:p>
        </w:tc>
        <w:tc>
          <w:tcPr>
            <w:tcW w:w="1276" w:type="dxa"/>
            <w:vAlign w:val="center"/>
          </w:tcPr>
          <w:p w:rsidR="0078762F" w:rsidRPr="00DD252F" w:rsidRDefault="00B424B9" w:rsidP="003D7B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D252F">
              <w:rPr>
                <w:rFonts w:ascii="Times New Roman CYR" w:hAnsi="Times New Roman CYR" w:cs="Times New Roman CYR"/>
                <w:sz w:val="20"/>
                <w:szCs w:val="20"/>
              </w:rPr>
              <w:t>2,90</w:t>
            </w:r>
          </w:p>
        </w:tc>
      </w:tr>
    </w:tbl>
    <w:p w:rsidR="0078762F" w:rsidRPr="00DD252F" w:rsidRDefault="0078762F" w:rsidP="003D7B67"/>
    <w:p w:rsidR="005D3C3C" w:rsidRPr="00DD252F" w:rsidRDefault="0067708C" w:rsidP="005D3C3C">
      <w:pPr>
        <w:ind w:firstLine="709"/>
        <w:rPr>
          <w:b/>
          <w:sz w:val="28"/>
          <w:szCs w:val="28"/>
        </w:rPr>
      </w:pPr>
      <w:r w:rsidRPr="00DD252F">
        <w:rPr>
          <w:b/>
          <w:sz w:val="28"/>
          <w:szCs w:val="28"/>
        </w:rPr>
        <w:t>Промышленное производство</w:t>
      </w:r>
    </w:p>
    <w:p w:rsidR="00112C9A" w:rsidRPr="00DD252F" w:rsidRDefault="00112C9A" w:rsidP="00F221C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C87AE9" w:rsidRPr="00DD252F" w:rsidRDefault="00C87AE9" w:rsidP="00C87AE9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На территории Каратузского района ведут работы по добыче рассыпного золота такие компании как - ЗАО ЗДК «Северная» и АО «Карат», геологоразведочные работы ведут - АС «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Ойна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», ООО «Титан Сибири».</w:t>
      </w:r>
    </w:p>
    <w:p w:rsidR="00C87AE9" w:rsidRPr="00DD252F" w:rsidRDefault="00C87AE9" w:rsidP="00C87AE9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 xml:space="preserve"> По виду экономической деятельности 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val="en-US"/>
        </w:rPr>
        <w:t>B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– добыча полезных ископаемых, объем отгруженных  товаров,  работ и услуг </w:t>
      </w:r>
      <w:r w:rsidR="00E21839" w:rsidRPr="00DD252F">
        <w:rPr>
          <w:rFonts w:ascii="Times New Roman CYR" w:eastAsiaTheme="minorEastAsia" w:hAnsi="Times New Roman CYR" w:cs="Times New Roman CYR"/>
          <w:sz w:val="28"/>
          <w:szCs w:val="28"/>
        </w:rPr>
        <w:t>по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E21839" w:rsidRPr="00DD252F">
        <w:rPr>
          <w:rFonts w:ascii="Times New Roman CYR" w:eastAsiaTheme="minorEastAsia" w:hAnsi="Times New Roman CYR" w:cs="Times New Roman CYR"/>
          <w:sz w:val="28"/>
          <w:szCs w:val="28"/>
        </w:rPr>
        <w:t>оценке 2024 года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E21839" w:rsidRPr="00DD252F">
        <w:rPr>
          <w:rFonts w:ascii="Times New Roman CYR" w:eastAsiaTheme="minorEastAsia" w:hAnsi="Times New Roman CYR" w:cs="Times New Roman CYR"/>
          <w:sz w:val="28"/>
          <w:szCs w:val="28"/>
        </w:rPr>
        <w:t>ожидается 369 301,90 тыс. руб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. В прогнозном периоде 2025-2027 гг. ожидается ежегодное увеличение объемов отгруженных товаров по данному виду экономической деятельности. В 2025 год</w:t>
      </w:r>
      <w:r w:rsidR="00E21839" w:rsidRPr="00DD252F">
        <w:rPr>
          <w:rFonts w:ascii="Times New Roman CYR" w:eastAsiaTheme="minorEastAsia" w:hAnsi="Times New Roman CYR" w:cs="Times New Roman CYR"/>
          <w:sz w:val="28"/>
          <w:szCs w:val="28"/>
        </w:rPr>
        <w:t>у 381 968,96 тыс. руб.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, в 2026 году - 393 542,62 тыс. руб., в 2027 году – 401 80</w:t>
      </w:r>
      <w:r w:rsidR="00E21839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7,02 тыс. руб., темп роста составит </w:t>
      </w:r>
      <w:r w:rsidR="00382E4A" w:rsidRPr="00DD252F">
        <w:rPr>
          <w:rFonts w:ascii="Times New Roman CYR" w:eastAsiaTheme="minorEastAsia" w:hAnsi="Times New Roman CYR" w:cs="Times New Roman CYR"/>
          <w:sz w:val="28"/>
          <w:szCs w:val="28"/>
        </w:rPr>
        <w:t>108,8% к оценке 2024 года. Увеличение связано с возобновлением работы ЗАО ЗДК «Северная» на территории района.</w:t>
      </w:r>
    </w:p>
    <w:p w:rsidR="00F17832" w:rsidRPr="00DD252F" w:rsidRDefault="00F17832" w:rsidP="00F17832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По виду экономической деятельности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</w:t>
      </w:r>
      <w:proofErr w:type="gram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– обрабатывающие производства, объем отгруженных товаров, работ и услуг по оценке 2024 года ожидается 306 329,74 тыс. рублей. В прогнозном периоде 2025-2027 гг. ожидается ежегодное увеличение объемов отгруженных товаров по данному виду экономической деятельности. В 2025 год</w:t>
      </w:r>
      <w:r w:rsidR="00863DD3" w:rsidRPr="00DD252F">
        <w:rPr>
          <w:rFonts w:ascii="Times New Roman CYR" w:eastAsiaTheme="minorEastAsia" w:hAnsi="Times New Roman CYR" w:cs="Times New Roman CYR"/>
          <w:sz w:val="28"/>
          <w:szCs w:val="28"/>
        </w:rPr>
        <w:t>у 316 836,85 тыс. руб.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, в 2026 году –326 437,01тыс. руб., в 2027 году –333 292,19 тыс. руб.</w:t>
      </w:r>
      <w:r w:rsidR="00863DD3" w:rsidRPr="00DD252F">
        <w:rPr>
          <w:rFonts w:ascii="Times New Roman CYR" w:eastAsiaTheme="minorEastAsia" w:hAnsi="Times New Roman CYR" w:cs="Times New Roman CYR"/>
          <w:sz w:val="28"/>
          <w:szCs w:val="28"/>
        </w:rPr>
        <w:t>, темп роста к оценке 2024 года составит 108,8%.</w:t>
      </w:r>
    </w:p>
    <w:p w:rsidR="00C87AE9" w:rsidRPr="00DD252F" w:rsidRDefault="00C87AE9" w:rsidP="00C87AE9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По виду экономической деятельности D - обеспечение электрической энергией, газом и паром; кондиционирование воздуха, объем отгруженных  товаров,  работ и услуг </w:t>
      </w:r>
      <w:r w:rsidR="00022E9D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ожидается</w:t>
      </w:r>
      <w:r w:rsidR="00725EDC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6 738,65 тыс. рублей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. В прогнозном периоде 2025-2027 гг. ожидается ежегодное увеличение объемов отгруженных товаров по данному виду экономической деятельности. В 2025 г</w:t>
      </w:r>
      <w:r w:rsidR="00220BF6" w:rsidRPr="00DD252F">
        <w:rPr>
          <w:rFonts w:ascii="Times New Roman CYR" w:eastAsiaTheme="minorEastAsia" w:hAnsi="Times New Roman CYR" w:cs="Times New Roman CYR"/>
          <w:sz w:val="28"/>
          <w:szCs w:val="28"/>
        </w:rPr>
        <w:t>оду 6 969,79 тыс. руб.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, в 2026 году – 7 180,97 тыс. руб., в 2027 году –7 331,77 тыс. р</w:t>
      </w:r>
      <w:r w:rsidR="00220BF6" w:rsidRPr="00DD252F">
        <w:rPr>
          <w:rFonts w:ascii="Times New Roman CYR" w:eastAsiaTheme="minorEastAsia" w:hAnsi="Times New Roman CYR" w:cs="Times New Roman CYR"/>
          <w:sz w:val="28"/>
          <w:szCs w:val="28"/>
        </w:rPr>
        <w:t>уб., темп роста к оценке 2024 года составит 108,8%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.</w:t>
      </w:r>
      <w:r w:rsidR="00725EDC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Повышение связано с увеличением потребления электроэнергии населением и прочими потребителями.</w:t>
      </w:r>
    </w:p>
    <w:p w:rsidR="00112C9A" w:rsidRPr="00DD252F" w:rsidRDefault="00112C9A" w:rsidP="00DA550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8240E3" w:rsidRPr="00DD252F" w:rsidRDefault="0060788B" w:rsidP="00DF6EA4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DD252F">
        <w:rPr>
          <w:b/>
          <w:sz w:val="28"/>
          <w:szCs w:val="28"/>
        </w:rPr>
        <w:t>Сельское хозяйство</w:t>
      </w:r>
      <w:bookmarkStart w:id="0" w:name="_Toc177304541"/>
      <w:bookmarkStart w:id="1" w:name="_Toc266714087"/>
      <w:bookmarkStart w:id="2" w:name="_Toc303155311"/>
      <w:bookmarkStart w:id="3" w:name="_Toc495493633"/>
    </w:p>
    <w:bookmarkEnd w:id="0"/>
    <w:bookmarkEnd w:id="1"/>
    <w:bookmarkEnd w:id="2"/>
    <w:bookmarkEnd w:id="3"/>
    <w:p w:rsidR="00F426BA" w:rsidRPr="00DD252F" w:rsidRDefault="00F426BA" w:rsidP="003756F6">
      <w:pPr>
        <w:ind w:firstLine="709"/>
        <w:jc w:val="left"/>
        <w:rPr>
          <w:rFonts w:ascii="Times New Roman CYR" w:hAnsi="Times New Roman CYR" w:cs="Times New Roman CYR"/>
          <w:sz w:val="28"/>
          <w:szCs w:val="28"/>
        </w:rPr>
      </w:pPr>
    </w:p>
    <w:p w:rsidR="00E32488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Основой развития экономики в районе является сельское хозяйство, включая переработку сельскохозяйственной продукции.</w:t>
      </w:r>
      <w:r w:rsidR="00E32488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На протяжении уже нескольких лет район первым завершает уборочные работы среди южной группы районов края.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Ведущими производителями в данной отрасли являются: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1. АО «Каратузское ДРСУ» - выращивание зерновых культур; 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2. ООО «Стожары» - выращивание зерновых культур;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3. СХА (колхоз) имени Ленина - выращивание зерновых культур;</w:t>
      </w:r>
    </w:p>
    <w:p w:rsidR="005238BB" w:rsidRPr="00DD252F" w:rsidRDefault="00A82980" w:rsidP="00E31113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4. ИП глава КФХ 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Брамман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И.К. - выращивание зерновых культур.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категорий): Выращивание однолетних культур; Выращивание многолетних культур; Выращивание рассады; Животноводство; Смешанное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 xml:space="preserve">сельское хозяйство; 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Деятельность вспомогательная в области производства сельскохозяйственных культур и послеуборочной обработки сельхозпродукции</w:t>
      </w:r>
      <w:r w:rsidR="004B594E">
        <w:rPr>
          <w:rFonts w:ascii="Times New Roman CYR" w:eastAsiaTheme="minorEastAsia" w:hAnsi="Times New Roman CYR" w:cs="Times New Roman CYR"/>
          <w:sz w:val="28"/>
          <w:szCs w:val="28"/>
        </w:rPr>
        <w:t xml:space="preserve"> (объем производства сельскохозяйственной продукции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4B594E">
        <w:rPr>
          <w:rFonts w:ascii="Times New Roman CYR" w:eastAsiaTheme="minorEastAsia" w:hAnsi="Times New Roman CYR" w:cs="Times New Roman CYR"/>
          <w:sz w:val="28"/>
          <w:szCs w:val="28"/>
        </w:rPr>
        <w:t xml:space="preserve">в хозяйствах всех категорий) </w:t>
      </w:r>
      <w:r w:rsidR="00F11217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F11217" w:rsidRPr="00DD252F">
        <w:rPr>
          <w:rFonts w:ascii="Times New Roman CYR" w:eastAsiaTheme="minorEastAsia" w:hAnsi="Times New Roman CYR" w:cs="Times New Roman CYR"/>
          <w:sz w:val="28"/>
          <w:szCs w:val="28"/>
        </w:rPr>
        <w:t>ожидается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 1560922,0 т</w:t>
      </w:r>
      <w:r w:rsidR="00F11217" w:rsidRPr="00DD252F">
        <w:rPr>
          <w:rFonts w:ascii="Times New Roman CYR" w:eastAsiaTheme="minorEastAsia" w:hAnsi="Times New Roman CYR" w:cs="Times New Roman CYR"/>
          <w:sz w:val="28"/>
          <w:szCs w:val="28"/>
        </w:rPr>
        <w:t>ыс. руб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. На прогнозный период </w:t>
      </w:r>
      <w:r w:rsidR="00F11217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2025-2027 гг.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ожидается положительная динамика за счет увеличения урожайности и площади посева: 2025 г. – 1661210,0 тыс. руб., 2026 г.- 1763903,0 тыс. руб., 2027 г. – 1874900,0 тыс. р</w:t>
      </w:r>
      <w:r w:rsidR="00F11217" w:rsidRPr="00DD252F">
        <w:rPr>
          <w:rFonts w:ascii="Times New Roman CYR" w:eastAsiaTheme="minorEastAsia" w:hAnsi="Times New Roman CYR" w:cs="Times New Roman CYR"/>
          <w:sz w:val="28"/>
          <w:szCs w:val="28"/>
        </w:rPr>
        <w:t>уб., темп роста к</w:t>
      </w:r>
      <w:proofErr w:type="gramEnd"/>
      <w:r w:rsidR="00F11217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уровню 2024 года составит </w:t>
      </w:r>
      <w:r w:rsidR="005E7FEE" w:rsidRPr="00DD252F">
        <w:rPr>
          <w:rFonts w:ascii="Times New Roman CYR" w:eastAsiaTheme="minorEastAsia" w:hAnsi="Times New Roman CYR" w:cs="Times New Roman CYR"/>
          <w:sz w:val="28"/>
          <w:szCs w:val="28"/>
        </w:rPr>
        <w:t>120,11%.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/>
          <w:sz w:val="28"/>
          <w:szCs w:val="28"/>
        </w:rPr>
        <w:t>Растениеводство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Низкий внутренний сп</w:t>
      </w:r>
      <w:r w:rsidR="00243637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рос на зерновые, а так же рост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цен</w:t>
      </w:r>
      <w:r w:rsidR="00243637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на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реализаци</w:t>
      </w:r>
      <w:r w:rsidR="00243637" w:rsidRPr="00DD252F">
        <w:rPr>
          <w:rFonts w:ascii="Times New Roman CYR" w:eastAsiaTheme="minorEastAsia" w:hAnsi="Times New Roman CYR" w:cs="Times New Roman CYR"/>
          <w:sz w:val="28"/>
          <w:szCs w:val="28"/>
        </w:rPr>
        <w:t>ю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зерн</w:t>
      </w:r>
      <w:r w:rsidR="00243637" w:rsidRPr="00DD252F">
        <w:rPr>
          <w:rFonts w:ascii="Times New Roman CYR" w:eastAsiaTheme="minorEastAsia" w:hAnsi="Times New Roman CYR" w:cs="Times New Roman CYR"/>
          <w:sz w:val="28"/>
          <w:szCs w:val="28"/>
        </w:rPr>
        <w:t>а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создают условия для незначительного роста объёмов зерновых культур. </w:t>
      </w:r>
      <w:r w:rsidR="00243637" w:rsidRPr="00DD252F">
        <w:rPr>
          <w:rFonts w:ascii="Times New Roman CYR" w:eastAsiaTheme="minorEastAsia" w:hAnsi="Times New Roman CYR" w:cs="Times New Roman CYR"/>
          <w:sz w:val="28"/>
          <w:szCs w:val="28"/>
        </w:rPr>
        <w:t>По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оценке 2024 года планируется произвести 29805,0</w:t>
      </w:r>
      <w:r w:rsidR="00243637" w:rsidRPr="00DD252F">
        <w:rPr>
          <w:rFonts w:ascii="Times New Roman CYR" w:eastAsiaTheme="minorEastAsia" w:hAnsi="Times New Roman CYR" w:cs="Times New Roman CYR"/>
          <w:sz w:val="28"/>
          <w:szCs w:val="28"/>
        </w:rPr>
        <w:t>2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тонн зерна в весе после доработки.</w:t>
      </w:r>
      <w:r w:rsidR="00243637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 прогнозном периоде ожидается: 2025 год – 30490,53 тонн, 2026 год – 31295,27 тонн, 2027 год – 32487,47 тонн (в весе после доработки) и темп роста к оценке 2024 года составит 109,0%.</w:t>
      </w:r>
    </w:p>
    <w:p w:rsidR="00A82980" w:rsidRPr="00DD252F" w:rsidRDefault="00D02F37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>
        <w:rPr>
          <w:rFonts w:ascii="Times New Roman CYR" w:eastAsiaTheme="minorEastAsia" w:hAnsi="Times New Roman CYR" w:cs="Times New Roman CYR"/>
          <w:sz w:val="28"/>
          <w:szCs w:val="28"/>
        </w:rPr>
        <w:t>Урожайность зерновых культур</w:t>
      </w:r>
      <w:r w:rsidR="00A82980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243637" w:rsidRPr="00DD252F">
        <w:rPr>
          <w:rFonts w:ascii="Times New Roman CYR" w:eastAsiaTheme="minorEastAsia" w:hAnsi="Times New Roman CYR" w:cs="Times New Roman CYR"/>
          <w:sz w:val="28"/>
          <w:szCs w:val="28"/>
        </w:rPr>
        <w:t>в прогнозном периоде 2025-2027 гг.</w:t>
      </w:r>
      <w:r w:rsidR="00A82980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план</w:t>
      </w:r>
      <w:r w:rsidR="00243637" w:rsidRPr="00DD252F">
        <w:rPr>
          <w:rFonts w:ascii="Times New Roman CYR" w:eastAsiaTheme="minorEastAsia" w:hAnsi="Times New Roman CYR" w:cs="Times New Roman CYR"/>
          <w:sz w:val="28"/>
          <w:szCs w:val="28"/>
        </w:rPr>
        <w:t>ируется стабильная в пределах 20,27</w:t>
      </w:r>
      <w:r w:rsidR="00A82980" w:rsidRPr="00DD252F">
        <w:rPr>
          <w:rFonts w:ascii="Times New Roman CYR" w:eastAsiaTheme="minorEastAsia" w:hAnsi="Times New Roman CYR" w:cs="Times New Roman CYR"/>
          <w:sz w:val="28"/>
          <w:szCs w:val="28"/>
        </w:rPr>
        <w:t>-21,6</w:t>
      </w:r>
      <w:r w:rsidR="00243637" w:rsidRPr="00DD252F">
        <w:rPr>
          <w:rFonts w:ascii="Times New Roman CYR" w:eastAsiaTheme="minorEastAsia" w:hAnsi="Times New Roman CYR" w:cs="Times New Roman CYR"/>
          <w:sz w:val="28"/>
          <w:szCs w:val="28"/>
        </w:rPr>
        <w:t>0 ц</w:t>
      </w:r>
      <w:r w:rsidR="00A82980" w:rsidRPr="00DD252F">
        <w:rPr>
          <w:rFonts w:ascii="Times New Roman CYR" w:eastAsiaTheme="minorEastAsia" w:hAnsi="Times New Roman CYR" w:cs="Times New Roman CYR"/>
          <w:sz w:val="28"/>
          <w:szCs w:val="28"/>
        </w:rPr>
        <w:t>/га</w:t>
      </w:r>
      <w:r w:rsidR="00C83F4E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(темп роста к оценке 2024 года составит 109,0%)</w:t>
      </w:r>
      <w:r w:rsidR="00A82980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при условии  применения качественного сортового посевного материала и применени</w:t>
      </w:r>
      <w:r w:rsidR="00C83F4E" w:rsidRPr="00DD252F">
        <w:rPr>
          <w:rFonts w:ascii="Times New Roman CYR" w:eastAsiaTheme="minorEastAsia" w:hAnsi="Times New Roman CYR" w:cs="Times New Roman CYR"/>
          <w:sz w:val="28"/>
          <w:szCs w:val="28"/>
        </w:rPr>
        <w:t>я</w:t>
      </w:r>
      <w:r w:rsidR="00A82980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средств защиты растений.</w:t>
      </w:r>
    </w:p>
    <w:p w:rsidR="00A82980" w:rsidRPr="00DD252F" w:rsidRDefault="00A82980" w:rsidP="00355019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Производство овощей </w:t>
      </w:r>
      <w:r w:rsidR="00355019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по оценке 2024 года ожидается 2017,72 тонн. В прогнозном периоде: 2025 год – 2064,13 тонн, 2026 год – 2118,61 тонн, 2027 год – 2199,32 тонн и темп роста к оценке 2024 года составит 109%.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Производство картофеля в </w:t>
      </w:r>
      <w:r w:rsidR="00355019" w:rsidRPr="00DD252F">
        <w:rPr>
          <w:rFonts w:ascii="Times New Roman CYR" w:eastAsiaTheme="minorEastAsia" w:hAnsi="Times New Roman CYR" w:cs="Times New Roman CYR"/>
          <w:sz w:val="28"/>
          <w:szCs w:val="28"/>
        </w:rPr>
        <w:t>прогнозном периоде 2025-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2027 г</w:t>
      </w:r>
      <w:r w:rsidR="00355019" w:rsidRPr="00DD252F">
        <w:rPr>
          <w:rFonts w:ascii="Times New Roman CYR" w:eastAsiaTheme="minorEastAsia" w:hAnsi="Times New Roman CYR" w:cs="Times New Roman CYR"/>
          <w:sz w:val="28"/>
          <w:szCs w:val="28"/>
        </w:rPr>
        <w:t>г.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планируется</w:t>
      </w:r>
      <w:r w:rsidR="00355019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 пределах 9367,79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– 9981,3</w:t>
      </w:r>
      <w:r w:rsidR="00355019" w:rsidRPr="00DD252F">
        <w:rPr>
          <w:rFonts w:ascii="Times New Roman CYR" w:eastAsiaTheme="minorEastAsia" w:hAnsi="Times New Roman CYR" w:cs="Times New Roman CYR"/>
          <w:sz w:val="28"/>
          <w:szCs w:val="28"/>
        </w:rPr>
        <w:t>3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тонн при темпе роста </w:t>
      </w:r>
      <w:r w:rsidR="00355019" w:rsidRPr="00DD252F">
        <w:rPr>
          <w:rFonts w:ascii="Times New Roman CYR" w:eastAsiaTheme="minorEastAsia" w:hAnsi="Times New Roman CYR" w:cs="Times New Roman CYR"/>
          <w:sz w:val="28"/>
          <w:szCs w:val="28"/>
        </w:rPr>
        <w:t>к оценке 2024 года 109%.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/>
          <w:sz w:val="28"/>
          <w:szCs w:val="28"/>
        </w:rPr>
        <w:t xml:space="preserve">Животноводство 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В прогнозируемом периоде одним из приоритетных направлений развития сельского хозяйства  в районе будет развитие животноводства. 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 первоочередным мерам реализации указанного направления относятся: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создание условий для привлечения в животноводство инвестиционных ресурсов;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наращивание объемов поставок техники, оборудования и племенного скота; 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укрепление кормовой базы животноводства и улучшение работы ветеринарной службы;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увеличение объемов товарного производства в сфере малых форм хозяйствования.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Результатом реализации</w:t>
      </w:r>
      <w:r w:rsidR="00F47CAF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вышеперечисленных мер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должно стать увеличение по</w:t>
      </w:r>
      <w:r w:rsidR="00F47CAF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головья крупного рогатого скота,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а также улучшение финансовых результатов животноводческой отрасли.</w:t>
      </w:r>
      <w:r w:rsidR="00F47CAF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По оценке 2024 года поголовье крупного рогатого скота ожидается 3075 голов. В прогнозном периоде: 2025 год – 3121 голов, 2026 год – 3137 голов, 2027 год – 3216 голов и темп роста к оценке 2024 года составит 104,59%.</w:t>
      </w:r>
    </w:p>
    <w:p w:rsidR="00A82980" w:rsidRPr="00DD252F" w:rsidRDefault="00147F3C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По</w:t>
      </w:r>
      <w:r w:rsidR="00A82980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оценке 2024 года производство мяса скота и птицы (в живом весе) </w:t>
      </w:r>
      <w:r w:rsidR="00A82980" w:rsidRPr="00DD252F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>составит в объеме 1734,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17 тонн. В прогнозном периоде: 2025 год – 1774,06 тонн, 2026 год – 1820,88 тонн, 2027 год – 1879,18 тонн и темп роста к оценке 2024 года составит 108,36%.</w:t>
      </w:r>
    </w:p>
    <w:p w:rsidR="00A82980" w:rsidRPr="00DD252F" w:rsidRDefault="00A82980" w:rsidP="00A82980">
      <w:pPr>
        <w:widowControl w:val="0"/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Поголовье коров к концу 2027 года прогнозируется увеличить </w:t>
      </w:r>
      <w:r w:rsidR="00BC083A" w:rsidRPr="00DD252F">
        <w:rPr>
          <w:rFonts w:ascii="Times New Roman CYR" w:eastAsiaTheme="minorEastAsia" w:hAnsi="Times New Roman CYR" w:cs="Times New Roman CYR"/>
          <w:sz w:val="28"/>
          <w:szCs w:val="28"/>
        </w:rPr>
        <w:t>до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BC083A" w:rsidRPr="00DD252F">
        <w:rPr>
          <w:rFonts w:ascii="Times New Roman CYR" w:eastAsiaTheme="minorEastAsia" w:hAnsi="Times New Roman CYR" w:cs="Times New Roman CYR"/>
          <w:sz w:val="28"/>
          <w:szCs w:val="28"/>
        </w:rPr>
        <w:t>1410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голов или 4,</w:t>
      </w:r>
      <w:r w:rsidR="00BC083A" w:rsidRPr="00DD252F">
        <w:rPr>
          <w:rFonts w:ascii="Times New Roman CYR" w:eastAsiaTheme="minorEastAsia" w:hAnsi="Times New Roman CYR" w:cs="Times New Roman CYR"/>
          <w:sz w:val="28"/>
          <w:szCs w:val="28"/>
        </w:rPr>
        <w:t>6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% к </w:t>
      </w:r>
      <w:r w:rsidR="00BC083A" w:rsidRPr="00DD252F">
        <w:rPr>
          <w:rFonts w:ascii="Times New Roman CYR" w:eastAsiaTheme="minorEastAsia" w:hAnsi="Times New Roman CYR" w:cs="Times New Roman CYR"/>
          <w:sz w:val="28"/>
          <w:szCs w:val="28"/>
        </w:rPr>
        <w:t>оценке 2024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года</w:t>
      </w:r>
      <w:r w:rsidR="00BC083A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(2025 год – 1368 голов, 2026 год – 1389 голов)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. Объем производства молока </w:t>
      </w:r>
      <w:r w:rsidR="00BC083A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2024 году возрастет </w:t>
      </w:r>
      <w:r w:rsidR="00BC083A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и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составит в пределах 4760,1</w:t>
      </w:r>
      <w:r w:rsidR="00BC083A" w:rsidRPr="00DD252F">
        <w:rPr>
          <w:rFonts w:ascii="Times New Roman CYR" w:eastAsiaTheme="minorEastAsia" w:hAnsi="Times New Roman CYR" w:cs="Times New Roman CYR"/>
          <w:sz w:val="28"/>
          <w:szCs w:val="28"/>
        </w:rPr>
        <w:t>3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тонн. В последующие годы в связи с ожидаемым ростом продуктивности коров молочного стада прогнозируется прирост производства молока в 2027 году </w:t>
      </w:r>
      <w:r w:rsidR="00BC083A" w:rsidRPr="00DD252F">
        <w:rPr>
          <w:rFonts w:ascii="Times New Roman CYR" w:eastAsiaTheme="minorEastAsia" w:hAnsi="Times New Roman CYR" w:cs="Times New Roman CYR"/>
          <w:sz w:val="28"/>
          <w:szCs w:val="28"/>
        </w:rPr>
        <w:t>до 5158,14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тонн ил</w:t>
      </w:r>
      <w:r w:rsidR="00BC083A" w:rsidRPr="00DD252F">
        <w:rPr>
          <w:rFonts w:ascii="Times New Roman CYR" w:eastAsiaTheme="minorEastAsia" w:hAnsi="Times New Roman CYR" w:cs="Times New Roman CYR"/>
          <w:sz w:val="28"/>
          <w:szCs w:val="28"/>
        </w:rPr>
        <w:t>и на 8,36 процентов к оценке 2024 года (2025 год – 4869,61 тонн, 2026 год – 4998,14 тонн).</w:t>
      </w:r>
    </w:p>
    <w:p w:rsidR="00F426BA" w:rsidRPr="00DD252F" w:rsidRDefault="00F426BA" w:rsidP="003756F6">
      <w:pPr>
        <w:ind w:firstLine="709"/>
        <w:jc w:val="left"/>
        <w:rPr>
          <w:rFonts w:ascii="Times New Roman CYR" w:hAnsi="Times New Roman CYR" w:cs="Times New Roman CYR"/>
          <w:sz w:val="28"/>
          <w:szCs w:val="28"/>
        </w:rPr>
      </w:pPr>
    </w:p>
    <w:p w:rsidR="00DF6EA4" w:rsidRPr="00DD252F" w:rsidRDefault="00286F45" w:rsidP="009D4B0D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 CYR" w:eastAsiaTheme="minorEastAsia" w:hAnsi="Times New Roman CYR" w:cs="Times New Roman CYR"/>
          <w:color w:val="000000"/>
          <w:sz w:val="12"/>
          <w:szCs w:val="12"/>
        </w:rPr>
      </w:pPr>
      <w:r>
        <w:rPr>
          <w:rFonts w:ascii="Times New Roman CYR" w:eastAsiaTheme="minorEastAsia" w:hAnsi="Times New Roman CYR" w:cs="Times New Roman CYR"/>
          <w:b/>
          <w:bCs/>
          <w:color w:val="000000"/>
          <w:sz w:val="28"/>
          <w:szCs w:val="28"/>
        </w:rPr>
        <w:t xml:space="preserve">Малое </w:t>
      </w:r>
      <w:r w:rsidR="00DF6EA4" w:rsidRPr="00DD252F">
        <w:rPr>
          <w:rFonts w:ascii="Times New Roman CYR" w:eastAsiaTheme="minorEastAsia" w:hAnsi="Times New Roman CYR" w:cs="Times New Roman CYR"/>
          <w:b/>
          <w:bCs/>
          <w:color w:val="000000"/>
          <w:sz w:val="28"/>
          <w:szCs w:val="28"/>
        </w:rPr>
        <w:t>предпринимательство</w:t>
      </w:r>
    </w:p>
    <w:p w:rsidR="00DF6EA4" w:rsidRPr="00DD252F" w:rsidRDefault="00DF6EA4" w:rsidP="00DF6EA4">
      <w:pPr>
        <w:widowControl w:val="0"/>
        <w:autoSpaceDE w:val="0"/>
        <w:autoSpaceDN w:val="0"/>
        <w:adjustRightInd w:val="0"/>
        <w:jc w:val="left"/>
        <w:rPr>
          <w:rFonts w:ascii="Times New Roman CYR" w:eastAsiaTheme="minorEastAsia" w:hAnsi="Times New Roman CYR" w:cs="Times New Roman CYR"/>
          <w:sz w:val="28"/>
        </w:rPr>
      </w:pPr>
    </w:p>
    <w:p w:rsidR="00DF6EA4" w:rsidRPr="00DD252F" w:rsidRDefault="00DF6EA4" w:rsidP="00DF6EA4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Количество малых предприятий </w:t>
      </w:r>
      <w:r w:rsidR="00255949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по оценке 2024 года и в прогнозном периоде 2025-2027 гг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. </w:t>
      </w:r>
      <w:r w:rsidR="00255949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ожидается на уровне 26 единиц. 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По оценке 2024 года ожидается количество индивидуальных предпринимателей 243 чел</w:t>
      </w:r>
      <w:r w:rsidR="00685DA5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овек, на прогнозируемый период 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планируется увеличение количества индивидуальных предпринимателе</w:t>
      </w:r>
      <w:r w:rsidR="00685DA5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й: 2025 год – 247 человек, 2026 год – 250 человек, 2027 год – 252 человека.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 </w:t>
      </w:r>
      <w:r w:rsidR="00C73F7D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Количество субъектов малого и среднего предпринимательства по оценке 2024 года составит 269 ед., в прогнозном периоде: 2025 год – 273 ед., 2026 год – 276 ед., 2027 год – 278 ед. 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Рост количества индивидуальных предпринимателей прогнозируется за счет смены статуса 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самозанятых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.</w:t>
      </w:r>
    </w:p>
    <w:p w:rsidR="00DF6EA4" w:rsidRPr="00DD252F" w:rsidRDefault="00CC495D" w:rsidP="00DF6EA4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С</w:t>
      </w:r>
      <w:r w:rsidR="00DF6EA4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реднесписочная численность работников организаций малого бизнеса </w:t>
      </w:r>
      <w:r w:rsidR="00432B4E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по оценке 2024 года ожидается 241 человек</w:t>
      </w:r>
      <w:r w:rsidR="00DF6EA4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.</w:t>
      </w:r>
      <w:r w:rsidR="00432B4E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 В прогнозном периоде данный показатель возрастет и составит в 2025 году - 243 человека, в 2026 году - 250 человек, в 2027 году - 253 человека.</w:t>
      </w:r>
      <w:r w:rsidR="00DF6EA4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 Рост численности связан с расширением сферы деятельности предприятий.</w:t>
      </w:r>
    </w:p>
    <w:p w:rsidR="004B61BD" w:rsidRDefault="00DF6EA4" w:rsidP="00DF6EA4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Среднесписочная численность работников у индивидуальных предпри</w:t>
      </w:r>
      <w:r w:rsidR="004B61BD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нимателей по оценке 2024 года ожидается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 543 человек.</w:t>
      </w:r>
      <w:r w:rsidR="00377A09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 </w:t>
      </w:r>
      <w:r w:rsidR="004B61BD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В прогнозном периоде составит: 2025 год – 546 человек, 2026 год – 550 человек, 2027 год – 555 человек и темп роста к оценке 2024 года составит 102,2%.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 Рост среднесписочной численности работников связан с участием предпринимателей в государственной программе «Развитие малого и среднего предпринимательства и инновационной деятельности». </w:t>
      </w:r>
    </w:p>
    <w:p w:rsidR="006506D9" w:rsidRDefault="006506D9" w:rsidP="00DF6EA4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</w:pPr>
    </w:p>
    <w:p w:rsidR="006506D9" w:rsidRPr="00712C2B" w:rsidRDefault="006506D9" w:rsidP="00712C2B">
      <w:pPr>
        <w:autoSpaceDE w:val="0"/>
        <w:autoSpaceDN w:val="0"/>
        <w:adjustRightInd w:val="0"/>
        <w:ind w:firstLine="709"/>
        <w:jc w:val="center"/>
        <w:rPr>
          <w:rFonts w:ascii="Times New Roman CYR" w:eastAsiaTheme="minorEastAsia" w:hAnsi="Times New Roman CYR" w:cs="Times New Roman CYR"/>
          <w:lang w:eastAsia="en-US"/>
        </w:rPr>
      </w:pPr>
      <w:r w:rsidRPr="00712C2B">
        <w:rPr>
          <w:rFonts w:ascii="Times New Roman CYR" w:eastAsiaTheme="minorEastAsia" w:hAnsi="Times New Roman CYR" w:cs="Times New Roman CYR"/>
          <w:lang w:eastAsia="en-US"/>
        </w:rPr>
        <w:t>Финансовое состояние малого предпринимательства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45"/>
        <w:gridCol w:w="4302"/>
        <w:gridCol w:w="1176"/>
        <w:gridCol w:w="1235"/>
        <w:gridCol w:w="1176"/>
        <w:gridCol w:w="1272"/>
      </w:tblGrid>
      <w:tr w:rsidR="006506D9" w:rsidTr="00DC4134">
        <w:tc>
          <w:tcPr>
            <w:tcW w:w="445" w:type="dxa"/>
            <w:vMerge w:val="restart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№</w:t>
            </w:r>
          </w:p>
        </w:tc>
        <w:tc>
          <w:tcPr>
            <w:tcW w:w="4341" w:type="dxa"/>
            <w:vMerge w:val="restart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Наименование показателей</w:t>
            </w:r>
          </w:p>
        </w:tc>
        <w:tc>
          <w:tcPr>
            <w:tcW w:w="4820" w:type="dxa"/>
            <w:gridSpan w:val="4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Годы</w:t>
            </w:r>
          </w:p>
        </w:tc>
      </w:tr>
      <w:tr w:rsidR="006506D9" w:rsidTr="00DC4134">
        <w:tc>
          <w:tcPr>
            <w:tcW w:w="445" w:type="dxa"/>
            <w:vMerge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</w:p>
        </w:tc>
        <w:tc>
          <w:tcPr>
            <w:tcW w:w="4341" w:type="dxa"/>
            <w:vMerge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</w:p>
        </w:tc>
        <w:tc>
          <w:tcPr>
            <w:tcW w:w="1134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2024</w:t>
            </w:r>
          </w:p>
        </w:tc>
        <w:tc>
          <w:tcPr>
            <w:tcW w:w="1236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2025</w:t>
            </w:r>
          </w:p>
        </w:tc>
        <w:tc>
          <w:tcPr>
            <w:tcW w:w="1176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2026</w:t>
            </w:r>
          </w:p>
        </w:tc>
        <w:tc>
          <w:tcPr>
            <w:tcW w:w="1274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2027</w:t>
            </w:r>
          </w:p>
        </w:tc>
      </w:tr>
      <w:tr w:rsidR="006506D9" w:rsidTr="00DC4134">
        <w:tc>
          <w:tcPr>
            <w:tcW w:w="445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</w:t>
            </w:r>
          </w:p>
        </w:tc>
        <w:tc>
          <w:tcPr>
            <w:tcW w:w="4341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Количество индивидуальных предпринимателей, прошедших государственную регистрацию, чел.</w:t>
            </w:r>
          </w:p>
        </w:tc>
        <w:tc>
          <w:tcPr>
            <w:tcW w:w="1134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243</w:t>
            </w:r>
          </w:p>
        </w:tc>
        <w:tc>
          <w:tcPr>
            <w:tcW w:w="1236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247</w:t>
            </w:r>
          </w:p>
        </w:tc>
        <w:tc>
          <w:tcPr>
            <w:tcW w:w="1176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250</w:t>
            </w:r>
          </w:p>
        </w:tc>
        <w:tc>
          <w:tcPr>
            <w:tcW w:w="1274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252</w:t>
            </w:r>
          </w:p>
        </w:tc>
      </w:tr>
      <w:tr w:rsidR="006506D9" w:rsidTr="00DC4134">
        <w:tc>
          <w:tcPr>
            <w:tcW w:w="445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</w:t>
            </w:r>
          </w:p>
        </w:tc>
        <w:tc>
          <w:tcPr>
            <w:tcW w:w="4341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 w:rsidRPr="00B518C0">
              <w:rPr>
                <w:rFonts w:eastAsiaTheme="minorEastAsia" w:cs="Calibri"/>
              </w:rPr>
              <w:t xml:space="preserve">Количество налогоплательщиков, представивших налоговые декларации по налогам, уплачиваемым в связи с применением упрощенной системы </w:t>
            </w:r>
            <w:r w:rsidRPr="00B518C0">
              <w:rPr>
                <w:rFonts w:eastAsiaTheme="minorEastAsia" w:cs="Calibri"/>
              </w:rPr>
              <w:lastRenderedPageBreak/>
              <w:t>налогообложения</w:t>
            </w:r>
            <w:r>
              <w:rPr>
                <w:rFonts w:eastAsiaTheme="minorEastAsia" w:cs="Calibri"/>
              </w:rPr>
              <w:t>, ед.</w:t>
            </w:r>
          </w:p>
        </w:tc>
        <w:tc>
          <w:tcPr>
            <w:tcW w:w="1134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lastRenderedPageBreak/>
              <w:t>231</w:t>
            </w:r>
          </w:p>
        </w:tc>
        <w:tc>
          <w:tcPr>
            <w:tcW w:w="1236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232</w:t>
            </w:r>
          </w:p>
        </w:tc>
        <w:tc>
          <w:tcPr>
            <w:tcW w:w="1176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233</w:t>
            </w:r>
          </w:p>
        </w:tc>
        <w:tc>
          <w:tcPr>
            <w:tcW w:w="1274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234</w:t>
            </w:r>
          </w:p>
        </w:tc>
      </w:tr>
      <w:tr w:rsidR="006506D9" w:rsidTr="00DC4134">
        <w:tc>
          <w:tcPr>
            <w:tcW w:w="445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lastRenderedPageBreak/>
              <w:t>3</w:t>
            </w:r>
          </w:p>
        </w:tc>
        <w:tc>
          <w:tcPr>
            <w:tcW w:w="4341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 w:rsidRPr="00B518C0">
              <w:rPr>
                <w:rFonts w:eastAsiaTheme="minorEastAsia" w:cs="Calibri"/>
              </w:rPr>
              <w:t>Количество выданных патентов на право применения патентной системы налогообложения</w:t>
            </w:r>
            <w:r>
              <w:rPr>
                <w:rFonts w:eastAsiaTheme="minorEastAsia" w:cs="Calibri"/>
              </w:rPr>
              <w:t>, ед.</w:t>
            </w:r>
          </w:p>
        </w:tc>
        <w:tc>
          <w:tcPr>
            <w:tcW w:w="1134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82</w:t>
            </w:r>
          </w:p>
        </w:tc>
        <w:tc>
          <w:tcPr>
            <w:tcW w:w="1236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84</w:t>
            </w:r>
          </w:p>
        </w:tc>
        <w:tc>
          <w:tcPr>
            <w:tcW w:w="1176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86</w:t>
            </w:r>
          </w:p>
        </w:tc>
        <w:tc>
          <w:tcPr>
            <w:tcW w:w="1274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88</w:t>
            </w:r>
          </w:p>
        </w:tc>
      </w:tr>
      <w:tr w:rsidR="006506D9" w:rsidTr="00DC4134">
        <w:tc>
          <w:tcPr>
            <w:tcW w:w="445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4</w:t>
            </w:r>
          </w:p>
        </w:tc>
        <w:tc>
          <w:tcPr>
            <w:tcW w:w="4341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 w:rsidRPr="00B518C0">
              <w:rPr>
                <w:rFonts w:eastAsiaTheme="minorEastAsia" w:cs="Calibri"/>
              </w:rPr>
              <w:t>Количество налогоплательщиков, представивших налоговые декларации по единому сельскохозяйственному налогу</w:t>
            </w:r>
            <w:r>
              <w:rPr>
                <w:rFonts w:eastAsiaTheme="minorEastAsia" w:cs="Calibri"/>
              </w:rPr>
              <w:t>, ед.</w:t>
            </w:r>
          </w:p>
        </w:tc>
        <w:tc>
          <w:tcPr>
            <w:tcW w:w="1134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15</w:t>
            </w:r>
          </w:p>
        </w:tc>
        <w:tc>
          <w:tcPr>
            <w:tcW w:w="1236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15</w:t>
            </w:r>
          </w:p>
        </w:tc>
        <w:tc>
          <w:tcPr>
            <w:tcW w:w="1176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15</w:t>
            </w:r>
          </w:p>
        </w:tc>
        <w:tc>
          <w:tcPr>
            <w:tcW w:w="1274" w:type="dxa"/>
            <w:vAlign w:val="center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15</w:t>
            </w:r>
          </w:p>
        </w:tc>
      </w:tr>
      <w:tr w:rsidR="006506D9" w:rsidTr="00DC4134">
        <w:tc>
          <w:tcPr>
            <w:tcW w:w="445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5</w:t>
            </w:r>
          </w:p>
        </w:tc>
        <w:tc>
          <w:tcPr>
            <w:tcW w:w="4341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Налоговая база налога, взимаемого в связи с применением упрощенной системы налогообложения по объекту налогообложения доходы, тыс. руб.</w:t>
            </w:r>
          </w:p>
        </w:tc>
        <w:tc>
          <w:tcPr>
            <w:tcW w:w="1134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166 057,1</w:t>
            </w:r>
          </w:p>
        </w:tc>
        <w:tc>
          <w:tcPr>
            <w:tcW w:w="1236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171 369,0</w:t>
            </w:r>
          </w:p>
        </w:tc>
        <w:tc>
          <w:tcPr>
            <w:tcW w:w="1176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178 909,2</w:t>
            </w:r>
          </w:p>
        </w:tc>
        <w:tc>
          <w:tcPr>
            <w:tcW w:w="1274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186 065,5</w:t>
            </w:r>
          </w:p>
        </w:tc>
      </w:tr>
      <w:tr w:rsidR="006506D9" w:rsidTr="00DC4134">
        <w:trPr>
          <w:trHeight w:val="1728"/>
        </w:trPr>
        <w:tc>
          <w:tcPr>
            <w:tcW w:w="445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6</w:t>
            </w:r>
          </w:p>
        </w:tc>
        <w:tc>
          <w:tcPr>
            <w:tcW w:w="4341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Налоговая база налога, взимаемого в связи с применением упрощенной системы налогообложения по объекту налогообложения доходы, уменьшенные на величину расходов, тыс. руб.</w:t>
            </w:r>
          </w:p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</w:p>
        </w:tc>
        <w:tc>
          <w:tcPr>
            <w:tcW w:w="1134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101 468,6</w:t>
            </w:r>
          </w:p>
        </w:tc>
        <w:tc>
          <w:tcPr>
            <w:tcW w:w="1236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109 607,8</w:t>
            </w:r>
          </w:p>
        </w:tc>
        <w:tc>
          <w:tcPr>
            <w:tcW w:w="1176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114 233,1</w:t>
            </w:r>
          </w:p>
        </w:tc>
        <w:tc>
          <w:tcPr>
            <w:tcW w:w="1274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118 598,2</w:t>
            </w:r>
          </w:p>
        </w:tc>
      </w:tr>
      <w:tr w:rsidR="006506D9" w:rsidTr="00DC4134">
        <w:trPr>
          <w:trHeight w:val="200"/>
        </w:trPr>
        <w:tc>
          <w:tcPr>
            <w:tcW w:w="445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7</w:t>
            </w:r>
          </w:p>
        </w:tc>
        <w:tc>
          <w:tcPr>
            <w:tcW w:w="4341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Налоговая база по единому сельскохозяйственному налогу, тыс. руб.</w:t>
            </w:r>
          </w:p>
        </w:tc>
        <w:tc>
          <w:tcPr>
            <w:tcW w:w="1134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6000,0</w:t>
            </w:r>
          </w:p>
        </w:tc>
        <w:tc>
          <w:tcPr>
            <w:tcW w:w="1236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6419,0</w:t>
            </w:r>
          </w:p>
        </w:tc>
        <w:tc>
          <w:tcPr>
            <w:tcW w:w="1176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6579,4</w:t>
            </w:r>
          </w:p>
        </w:tc>
        <w:tc>
          <w:tcPr>
            <w:tcW w:w="1274" w:type="dxa"/>
          </w:tcPr>
          <w:p w:rsidR="006506D9" w:rsidRDefault="006506D9" w:rsidP="00DC41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6809,7</w:t>
            </w:r>
          </w:p>
        </w:tc>
      </w:tr>
    </w:tbl>
    <w:p w:rsidR="006506D9" w:rsidRPr="00DD252F" w:rsidRDefault="006506D9" w:rsidP="006506D9">
      <w:pPr>
        <w:autoSpaceDE w:val="0"/>
        <w:autoSpaceDN w:val="0"/>
        <w:adjustRightInd w:val="0"/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</w:pPr>
    </w:p>
    <w:p w:rsidR="00DF6EA4" w:rsidRPr="00DD252F" w:rsidRDefault="00DF6EA4" w:rsidP="00DF6EA4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Количество организаций по поддержке малого предпринимательства – 1 (представительство центра «Мой бизнес»), а также постановлением администрации Каратузского района от 10.08.2012г. № 1070-п при администрации района организован координационный совет в области содействия развитию малого и среднего предпринимательства. </w:t>
      </w:r>
    </w:p>
    <w:p w:rsidR="004B61BD" w:rsidRPr="00DD252F" w:rsidRDefault="00DF6EA4" w:rsidP="00DF6EA4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en-US"/>
        </w:rPr>
        <w:t xml:space="preserve">Продолжает действовать муниципальная программа «Развитие малого и среднего предпринимательства в Каратузском районе». Разработаны и утверждены порядки предоставления финансовой поддержки из бюджета района и предусмотрено </w:t>
      </w:r>
      <w:proofErr w:type="spellStart"/>
      <w:r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en-US"/>
        </w:rPr>
        <w:t>софинансирование</w:t>
      </w:r>
      <w:proofErr w:type="spellEnd"/>
      <w:r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en-US"/>
        </w:rPr>
        <w:t xml:space="preserve"> из краевого бюджета. </w:t>
      </w:r>
    </w:p>
    <w:p w:rsidR="00DF6EA4" w:rsidRPr="00DD252F" w:rsidRDefault="00DF6EA4" w:rsidP="00DF6EA4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en-US"/>
        </w:rPr>
        <w:t>По оценке на 2024 год и прогнозируемый период</w:t>
      </w:r>
      <w:r w:rsidR="004B61BD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en-US"/>
        </w:rPr>
        <w:t xml:space="preserve"> 2025-2027 гг.</w:t>
      </w:r>
      <w:r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en-US"/>
        </w:rPr>
        <w:t xml:space="preserve"> планируется привлечение краевых и федеральных средств.</w:t>
      </w:r>
    </w:p>
    <w:p w:rsidR="00DF6EA4" w:rsidRPr="00DD252F" w:rsidRDefault="00DF6EA4" w:rsidP="00DF6EA4">
      <w:pPr>
        <w:autoSpaceDE w:val="0"/>
        <w:autoSpaceDN w:val="0"/>
        <w:adjustRightInd w:val="0"/>
        <w:ind w:right="-1" w:firstLine="709"/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Для субъектов малого и среднего предпринимательства, безработных граждан постоянно проводятся семинары, совещания, также оказываются информационно-консультационные услуги и практическая помощь по написанию бизнес-планов безработным гражданам для получения субсидии и открытия своего дела.</w:t>
      </w:r>
    </w:p>
    <w:p w:rsidR="00DF6EA4" w:rsidRPr="00DD252F" w:rsidRDefault="00DF6EA4" w:rsidP="004B61BD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О мерах муниципальн</w:t>
      </w:r>
      <w:r w:rsidR="004B61BD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ой поддержки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 информация размещается в местной газете «Знамя труда» и на сайте администрации района, информационном стенде в здании администрации, в социальных сетях.</w:t>
      </w:r>
    </w:p>
    <w:p w:rsidR="00DF6EA4" w:rsidRPr="00DD252F" w:rsidRDefault="00DF6EA4" w:rsidP="003756F6">
      <w:pPr>
        <w:ind w:firstLine="709"/>
        <w:jc w:val="left"/>
        <w:rPr>
          <w:rFonts w:ascii="Times New Roman CYR" w:hAnsi="Times New Roman CYR" w:cs="Times New Roman CYR"/>
          <w:sz w:val="28"/>
          <w:szCs w:val="28"/>
        </w:rPr>
      </w:pPr>
    </w:p>
    <w:p w:rsidR="00D01270" w:rsidRPr="00DD252F" w:rsidRDefault="00D01270" w:rsidP="00D01270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 CYR" w:eastAsiaTheme="minorEastAsia" w:hAnsi="Times New Roman CYR" w:cs="Times New Roman CYR"/>
          <w:color w:val="000000"/>
          <w:sz w:val="12"/>
          <w:szCs w:val="12"/>
        </w:rPr>
      </w:pPr>
      <w:r w:rsidRPr="00DD252F">
        <w:rPr>
          <w:rFonts w:ascii="Times New Roman CYR" w:eastAsiaTheme="minorEastAsia" w:hAnsi="Times New Roman CYR" w:cs="Times New Roman CYR"/>
          <w:b/>
          <w:bCs/>
          <w:color w:val="000000"/>
          <w:sz w:val="28"/>
          <w:szCs w:val="28"/>
        </w:rPr>
        <w:t>Инвестиции</w:t>
      </w:r>
    </w:p>
    <w:p w:rsidR="00D01270" w:rsidRPr="00DD252F" w:rsidRDefault="00D01270" w:rsidP="00D01270">
      <w:pPr>
        <w:widowControl w:val="0"/>
        <w:autoSpaceDE w:val="0"/>
        <w:autoSpaceDN w:val="0"/>
        <w:adjustRightInd w:val="0"/>
        <w:jc w:val="left"/>
        <w:rPr>
          <w:rFonts w:ascii="Times New Roman CYR" w:eastAsiaTheme="minorEastAsia" w:hAnsi="Times New Roman CYR" w:cs="Times New Roman CYR"/>
          <w:sz w:val="28"/>
        </w:rPr>
      </w:pPr>
    </w:p>
    <w:p w:rsidR="00B47933" w:rsidRPr="00DD252F" w:rsidRDefault="00B47933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Объем инвестиций в основной капитал за счет всех источников финансирования по полному кругу хозяйствующих субъектов</w:t>
      </w:r>
      <w:r w:rsidR="00F64939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по оценке 2024 </w:t>
      </w:r>
      <w:r w:rsidR="00F64939" w:rsidRPr="00DD252F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 xml:space="preserve">года составит 191611,00 тыс. руб., в прогнозируемом периоде составит: 2025 – 155568,00 тыс. руб., 2026 – 153840,00 тыс. руб., 2027 – 156158,60 тыс. руб., где темп роста к оценке 2024 </w:t>
      </w:r>
      <w:r w:rsidR="009016DE">
        <w:rPr>
          <w:rFonts w:ascii="Times New Roman CYR" w:eastAsiaTheme="minorEastAsia" w:hAnsi="Times New Roman CYR" w:cs="Times New Roman CYR"/>
          <w:sz w:val="28"/>
          <w:szCs w:val="28"/>
        </w:rPr>
        <w:t>года</w:t>
      </w:r>
      <w:r w:rsidR="00F64939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составит 81,50%.</w:t>
      </w:r>
    </w:p>
    <w:p w:rsidR="0047238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Объем инвестиций за счет всех источников финансирования (без субъектов МСП) </w:t>
      </w:r>
      <w:r w:rsidR="00472380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ожидается 160611,00 тыс.</w:t>
      </w:r>
      <w:r w:rsidR="00202B07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472380" w:rsidRPr="00DD252F">
        <w:rPr>
          <w:rFonts w:ascii="Times New Roman CYR" w:eastAsiaTheme="minorEastAsia" w:hAnsi="Times New Roman CYR" w:cs="Times New Roman CYR"/>
          <w:sz w:val="28"/>
          <w:szCs w:val="28"/>
        </w:rPr>
        <w:t>руб.</w:t>
      </w:r>
      <w:r w:rsidR="006558A5" w:rsidRPr="00DD252F">
        <w:rPr>
          <w:rFonts w:ascii="Times New Roman CYR" w:eastAsiaTheme="minorEastAsia" w:hAnsi="Times New Roman CYR" w:cs="Times New Roman CYR"/>
          <w:sz w:val="28"/>
          <w:szCs w:val="28"/>
        </w:rPr>
        <w:t>, а в прогнозном периоде: 2025 год – 125568,00 тыс. руб., 2026 год – 123840,00 тыс. руб., 2027 год – 126158,60 тыс. руб., темп роста к оценке 2024 года составит 78,55%.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Объем инвестиций в основной капитал за счет бюджетных средств </w:t>
      </w:r>
      <w:r w:rsidR="002E46DF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ожидается 111861,00 тыс. руб., в 2025 году данный показатель прогнозируется 74308,00 тыс.</w:t>
      </w:r>
      <w:r w:rsidR="00202B07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2E46DF" w:rsidRPr="00DD252F">
        <w:rPr>
          <w:rFonts w:ascii="Times New Roman CYR" w:eastAsiaTheme="minorEastAsia" w:hAnsi="Times New Roman CYR" w:cs="Times New Roman CYR"/>
          <w:sz w:val="28"/>
          <w:szCs w:val="28"/>
        </w:rPr>
        <w:t>руб., в 2026 году 70130,00 тыс.</w:t>
      </w:r>
      <w:r w:rsidR="00202B07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2E46DF" w:rsidRPr="00DD252F">
        <w:rPr>
          <w:rFonts w:ascii="Times New Roman CYR" w:eastAsiaTheme="minorEastAsia" w:hAnsi="Times New Roman CYR" w:cs="Times New Roman CYR"/>
          <w:sz w:val="28"/>
          <w:szCs w:val="28"/>
        </w:rPr>
        <w:t>руб., в 2027 году 69301,97 тыс.</w:t>
      </w:r>
      <w:r w:rsidR="00202B07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2E46DF" w:rsidRPr="00DD252F">
        <w:rPr>
          <w:rFonts w:ascii="Times New Roman CYR" w:eastAsiaTheme="minorEastAsia" w:hAnsi="Times New Roman CYR" w:cs="Times New Roman CYR"/>
          <w:sz w:val="28"/>
          <w:szCs w:val="28"/>
        </w:rPr>
        <w:t>руб., темп роста к оценке 2024 года составит 61,95%.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Объем инвестиций в основной капитал (за исключением бюджетных средств) в расчёте на 1 жителя </w:t>
      </w:r>
      <w:r w:rsidR="005166F9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составит 3739,93 руб., в прогнозируемом периоде ожидается увеличение и составит: 2025 год – 4007,51 руб., 2026 год – 4280,36 руб., 2027 год – 4616,86 руб. и темп роста к оценке 2024 года составит 123,45%.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</w:p>
    <w:p w:rsidR="008D73C6" w:rsidRPr="00DD252F" w:rsidRDefault="00D01270" w:rsidP="00D01270">
      <w:pPr>
        <w:autoSpaceDE w:val="0"/>
        <w:autoSpaceDN w:val="0"/>
        <w:adjustRightInd w:val="0"/>
        <w:spacing w:line="276" w:lineRule="auto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В структуре видов экономической деятельности</w:t>
      </w:r>
      <w:r w:rsidR="008D73C6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по оценке 2024 года</w:t>
      </w:r>
      <w:r w:rsidR="00A80B52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наибольший удельный вес (23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,</w:t>
      </w:r>
      <w:r w:rsidR="00A80B52" w:rsidRPr="00DD252F">
        <w:rPr>
          <w:rFonts w:ascii="Times New Roman CYR" w:eastAsiaTheme="minorEastAsia" w:hAnsi="Times New Roman CYR" w:cs="Times New Roman CYR"/>
          <w:sz w:val="28"/>
          <w:szCs w:val="28"/>
        </w:rPr>
        <w:t>07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%) приходится</w:t>
      </w:r>
      <w:r w:rsidR="008D73C6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на </w:t>
      </w:r>
      <w:r w:rsidR="00A80B52" w:rsidRPr="00DD252F">
        <w:rPr>
          <w:rFonts w:ascii="Times New Roman CYR" w:eastAsiaTheme="minorEastAsia" w:hAnsi="Times New Roman CYR" w:cs="Times New Roman CYR"/>
          <w:sz w:val="28"/>
          <w:szCs w:val="28"/>
        </w:rPr>
        <w:t>«Образование» а объем инвестиций составит 37046,36</w:t>
      </w:r>
      <w:r w:rsidR="00BA2C46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тыс. рублей</w:t>
      </w:r>
      <w:r w:rsidR="00A80B52" w:rsidRPr="00DD252F">
        <w:rPr>
          <w:rFonts w:ascii="Times New Roman CYR" w:eastAsiaTheme="minorEastAsia" w:hAnsi="Times New Roman CYR" w:cs="Times New Roman CYR"/>
          <w:sz w:val="28"/>
          <w:szCs w:val="28"/>
        </w:rPr>
        <w:t>. В 202</w:t>
      </w:r>
      <w:r w:rsidR="00F93CA2" w:rsidRPr="00DD252F">
        <w:rPr>
          <w:rFonts w:ascii="Times New Roman CYR" w:eastAsiaTheme="minorEastAsia" w:hAnsi="Times New Roman CYR" w:cs="Times New Roman CYR"/>
          <w:sz w:val="28"/>
          <w:szCs w:val="28"/>
        </w:rPr>
        <w:t>4</w:t>
      </w:r>
      <w:r w:rsidR="00A80B52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году</w:t>
      </w:r>
      <w:r w:rsidR="00E41A06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инвестиции планируется направить на ремонт МБОУ «</w:t>
      </w:r>
      <w:proofErr w:type="spellStart"/>
      <w:r w:rsidR="00E41A06" w:rsidRPr="00DD252F">
        <w:rPr>
          <w:rFonts w:ascii="Times New Roman CYR" w:eastAsiaTheme="minorEastAsia" w:hAnsi="Times New Roman CYR" w:cs="Times New Roman CYR"/>
          <w:sz w:val="28"/>
          <w:szCs w:val="28"/>
        </w:rPr>
        <w:t>Моторская</w:t>
      </w:r>
      <w:proofErr w:type="spellEnd"/>
      <w:r w:rsidR="00E41A06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СОШ» и МАДОУ детский сад «Сказка», а также</w:t>
      </w:r>
      <w:r w:rsidR="00A80B52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 школы района </w:t>
      </w:r>
      <w:r w:rsidR="00F93CA2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будут </w:t>
      </w:r>
      <w:r w:rsidR="00A80B52" w:rsidRPr="00DD252F">
        <w:rPr>
          <w:rFonts w:ascii="Times New Roman CYR" w:eastAsiaTheme="minorEastAsia" w:hAnsi="Times New Roman CYR" w:cs="Times New Roman CYR"/>
          <w:sz w:val="28"/>
          <w:szCs w:val="28"/>
        </w:rPr>
        <w:t>приобретены необходимые принадлежности для осуществления образовательной деятельности.</w:t>
      </w:r>
      <w:r w:rsidR="00E41A06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proofErr w:type="gramStart"/>
      <w:r w:rsidR="00E41A06" w:rsidRPr="00DD252F">
        <w:rPr>
          <w:rFonts w:ascii="Times New Roman CYR" w:eastAsiaTheme="minorEastAsia" w:hAnsi="Times New Roman CYR" w:cs="Times New Roman CYR"/>
          <w:sz w:val="28"/>
          <w:szCs w:val="28"/>
        </w:rPr>
        <w:t>В прогнозном периоде инвестиции по данному виду экономической деятельности составят: 2025 год – 17372,70 тыс. руб., 2026 год – 17120,55 тыс. руб., 2027 год – 16203,95 тыс. руб. Инвестиции планируется направить на приобретение в образовательные учреждения учебников, учебной мебели, спортивного оборудования, компьютерной и организационной техники, а также на проведение текущих/капитальных ремонтов и устранение требований надзорных органов.</w:t>
      </w:r>
      <w:proofErr w:type="gramEnd"/>
    </w:p>
    <w:p w:rsidR="00D01270" w:rsidRPr="00DD252F" w:rsidRDefault="003177B5" w:rsidP="003177B5">
      <w:pPr>
        <w:autoSpaceDE w:val="0"/>
        <w:autoSpaceDN w:val="0"/>
        <w:adjustRightInd w:val="0"/>
        <w:spacing w:line="276" w:lineRule="auto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Удельный вес от общего объема по виду экономической деятельности </w:t>
      </w:r>
      <w:r w:rsidR="00D01270" w:rsidRPr="00DD252F">
        <w:rPr>
          <w:rFonts w:ascii="Times New Roman CYR" w:eastAsiaTheme="minorEastAsia" w:hAnsi="Times New Roman CYR" w:cs="Times New Roman CYR"/>
          <w:sz w:val="28"/>
          <w:szCs w:val="28"/>
        </w:rPr>
        <w:t>«Государственное управление и обеспечение военной безопасности; социальное обеспечение»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по оценке 2024 года составит 15,25%, а объем инвестиций 24500,00 тыс. руб. В прогнозном периоде: 2025 год – 23000,00 тыс. руб., 2026 год – 22500,00, 2027 год – 21609,00 тыс. руб.</w:t>
      </w:r>
    </w:p>
    <w:p w:rsidR="00540A2A" w:rsidRPr="00DD252F" w:rsidRDefault="00540A2A" w:rsidP="003177B5">
      <w:pPr>
        <w:autoSpaceDE w:val="0"/>
        <w:autoSpaceDN w:val="0"/>
        <w:adjustRightInd w:val="0"/>
        <w:spacing w:line="276" w:lineRule="auto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По виду экономической деятельности «Деятельность в области культуры, спорта, организации досуга и развлечений» объем инвестиционных вложений в общей структуре инвестиций составит по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 xml:space="preserve">оценке 2024 года 12,65% или в денежном выражении 20316,58 тыс. рублей. Инвестиции планируется направить на капитальный ремонт 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Моторского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СДК, приобретение сцены, музыкального оборудования, обустройство спортивных плоскостных сооружений. 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В прогнозном периоде инвестиции составят: 2025 год – 981,65 тыс. руб., 2026 год – 803,45 тыс. руб., 2027 год – 767,00 тыс. руб. (комплектование книжных фондов, переоснащение видеостудии, укрепление внутренних коммуникаций, приобретение спортивного оборудования).</w:t>
      </w:r>
      <w:proofErr w:type="gramEnd"/>
    </w:p>
    <w:p w:rsidR="008C3661" w:rsidRPr="00DD252F" w:rsidRDefault="008C3661" w:rsidP="003177B5">
      <w:pPr>
        <w:autoSpaceDE w:val="0"/>
        <w:autoSpaceDN w:val="0"/>
        <w:adjustRightInd w:val="0"/>
        <w:spacing w:line="276" w:lineRule="auto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Удельный вес от общего объема по виду экономической деятельности «Транспортировка и хранение» по оценке 2024 года - 9,47%, а объем инвестиций составит 15 203,00 тыс. рублей. 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В прогнозном периоде: 2025 год – 13100,00 тыс. руб., 2026 год – 12106,00 тыс. руб., 2027 год – 11160,00 тыс. руб.</w:t>
      </w:r>
      <w:proofErr w:type="gramEnd"/>
    </w:p>
    <w:p w:rsidR="007F2D26" w:rsidRPr="00DD252F" w:rsidRDefault="007F2D26" w:rsidP="003177B5">
      <w:pPr>
        <w:autoSpaceDE w:val="0"/>
        <w:autoSpaceDN w:val="0"/>
        <w:adjustRightInd w:val="0"/>
        <w:spacing w:line="276" w:lineRule="auto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Удельный вес от общего объема по виду экономической деятельности «Обеспечение электрической энергией, газом и паром; 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кондиционирование воздуха» по оценке 2024 года – 8,39%, а объём  инвестиций составит 13476,00 тыс. руб. В прогнозном периоде: 2025 год – 13714,00 тыс. руб., 2026 год – 13952,00 тыс. руб., 2027 год – 14010,00 тыс. руб.  Повышение объема инвестиций планируется в связи с увеличением инвестиционных вложений ПАО «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Россети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Сибирь», осуществляющего деятельность на территории муниципального образования.</w:t>
      </w:r>
      <w:proofErr w:type="gramEnd"/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Удельный вес от общего объема по виду экономической деятельности «Добыча полезных ископаемых»</w:t>
      </w:r>
      <w:r w:rsidR="00B5574E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по оценке 2024 года - 8,10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%, а объем инвестиций </w:t>
      </w:r>
      <w:r w:rsidR="00AC7D45" w:rsidRPr="00DD252F">
        <w:rPr>
          <w:rFonts w:ascii="Times New Roman CYR" w:eastAsiaTheme="minorEastAsia" w:hAnsi="Times New Roman CYR" w:cs="Times New Roman CYR"/>
          <w:sz w:val="28"/>
          <w:szCs w:val="28"/>
        </w:rPr>
        <w:t>13 012,06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тыс. р</w:t>
      </w:r>
      <w:r w:rsidR="00AC7D45" w:rsidRPr="00DD252F">
        <w:rPr>
          <w:rFonts w:ascii="Times New Roman CYR" w:eastAsiaTheme="minorEastAsia" w:hAnsi="Times New Roman CYR" w:cs="Times New Roman CYR"/>
          <w:sz w:val="28"/>
          <w:szCs w:val="28"/>
        </w:rPr>
        <w:t>ублей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. </w:t>
      </w:r>
      <w:r w:rsidR="00AC7D45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В 2025 году объем инвестиций прогнозируется 19717,65 тыс. руб., в 2026 году 20805,00 тыс. руб., в 2027 года 26297,65 тыс. руб.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Рост связан с возобновлением работ на территории района золотодобывающей компании ЗАО ЗК «Северная».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Удельный вес от общего объема по виду экономической деятельности «Строительство» </w:t>
      </w:r>
      <w:r w:rsidR="007257B4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- 7,4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2%, а объем инвестиций состави</w:t>
      </w:r>
      <w:r w:rsidR="007257B4" w:rsidRPr="00DD252F">
        <w:rPr>
          <w:rFonts w:ascii="Times New Roman CYR" w:eastAsiaTheme="minorEastAsia" w:hAnsi="Times New Roman CYR" w:cs="Times New Roman CYR"/>
          <w:sz w:val="28"/>
          <w:szCs w:val="28"/>
        </w:rPr>
        <w:t>т 11910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,00 тыс. р</w:t>
      </w:r>
      <w:r w:rsidR="007257B4" w:rsidRPr="00DD252F">
        <w:rPr>
          <w:rFonts w:ascii="Times New Roman CYR" w:eastAsiaTheme="minorEastAsia" w:hAnsi="Times New Roman CYR" w:cs="Times New Roman CYR"/>
          <w:sz w:val="28"/>
          <w:szCs w:val="28"/>
        </w:rPr>
        <w:t>ублей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. </w:t>
      </w:r>
      <w:r w:rsidR="007257B4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 2025 году объем инвестиций составит 10050,00 тыс. руб., в 2026 году 10190,00 тыс. руб., в 2027 году 11288,00 тыс. руб.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Объем инвестиций в основной капитал по виду экономической деятельности «Деятельность в области здравоохранения и социальных услуг» в общей структуре инвестиций состави</w:t>
      </w:r>
      <w:r w:rsidR="005F38A1" w:rsidRPr="00DD252F">
        <w:rPr>
          <w:rFonts w:ascii="Times New Roman CYR" w:eastAsiaTheme="minorEastAsia" w:hAnsi="Times New Roman CYR" w:cs="Times New Roman CYR"/>
          <w:sz w:val="28"/>
          <w:szCs w:val="28"/>
        </w:rPr>
        <w:t>т по оценке 2024 года 7,22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%, а объём  инвестиций </w:t>
      </w:r>
      <w:r w:rsidR="005F38A1" w:rsidRPr="00DD252F">
        <w:rPr>
          <w:rFonts w:ascii="Times New Roman CYR" w:eastAsiaTheme="minorEastAsia" w:hAnsi="Times New Roman CYR" w:cs="Times New Roman CYR"/>
          <w:sz w:val="28"/>
          <w:szCs w:val="28"/>
        </w:rPr>
        <w:t>11601,00 тыс. рублей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.</w:t>
      </w:r>
      <w:r w:rsidR="0015725A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Планируется приобрести оборудование для выездной патронажной</w:t>
      </w:r>
      <w:r w:rsidR="003E1F7B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паллиативной помощи, а также оборудование для кабинетов.</w:t>
      </w:r>
      <w:r w:rsidR="0015725A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8C7840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proofErr w:type="gramStart"/>
      <w:r w:rsidR="008C7840" w:rsidRPr="00DD252F">
        <w:rPr>
          <w:rFonts w:ascii="Times New Roman CYR" w:eastAsiaTheme="minorEastAsia" w:hAnsi="Times New Roman CYR" w:cs="Times New Roman CYR"/>
          <w:sz w:val="28"/>
          <w:szCs w:val="28"/>
        </w:rPr>
        <w:t>В прогнозном периоде</w:t>
      </w:r>
      <w:r w:rsidR="001C5BBC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инвестиции ожидаются в объеме</w:t>
      </w:r>
      <w:r w:rsidR="008C7840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: 2025 год – 10500,00 тыс. руб., 2026 год – 10400,00 тыс. руб., 2027 год – 10300,00 тыс. руб. </w:t>
      </w:r>
      <w:proofErr w:type="gramEnd"/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 xml:space="preserve">Удельный вес от общего объема по виду экономической деятельности «Сельское, лесное хозяйство, охота, рыболовство и рыбоводство» </w:t>
      </w:r>
      <w:r w:rsidR="00C4544B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- 6,23%, а объем инвестиций 10000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,0 тыс. рублей</w:t>
      </w:r>
      <w:r w:rsidR="00E82921" w:rsidRPr="00DD252F">
        <w:rPr>
          <w:rFonts w:ascii="Times New Roman CYR" w:eastAsiaTheme="minorEastAsia" w:hAnsi="Times New Roman CYR" w:cs="Times New Roman CYR"/>
          <w:sz w:val="28"/>
          <w:szCs w:val="28"/>
        </w:rPr>
        <w:t>.</w:t>
      </w:r>
      <w:r w:rsidR="00E82921" w:rsidRPr="00DD252F">
        <w:t xml:space="preserve"> </w:t>
      </w:r>
      <w:r w:rsidR="00E82921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Предприятие планирует приобрести сельскохозяйственную технику. </w:t>
      </w:r>
      <w:proofErr w:type="gramStart"/>
      <w:r w:rsidR="00E82921" w:rsidRPr="00DD252F">
        <w:rPr>
          <w:rFonts w:ascii="Times New Roman CYR" w:eastAsiaTheme="minorEastAsia" w:hAnsi="Times New Roman CYR" w:cs="Times New Roman CYR"/>
          <w:sz w:val="28"/>
          <w:szCs w:val="28"/>
        </w:rPr>
        <w:t>В прогнозном периоде объем инвестиций составит: 2025 год – 13601,00 тыс. руб., 2026 год – 12590,00 тыс. руб., 2027 год – 11201,00 тыс. руб.</w:t>
      </w:r>
      <w:proofErr w:type="gramEnd"/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Вид экономической деятельности «Торговля оптовая и розничная; ремонт автотранспортных средств и мотоциклов» объем инвестиций </w:t>
      </w:r>
      <w:r w:rsidR="00C4544B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составит 2501,00 тыс. руб.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C4544B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В 2025 году – 2460,00 тыс. руб., в 2026 году – 2260,00 тыс. руб., в 2027 году – 2160,00 тыс. руб.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Снижение </w:t>
      </w:r>
      <w:r w:rsidR="00C4544B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объема инвестиций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связано с уменьшением инвестиционных вложений в развитие деятельности.</w:t>
      </w:r>
      <w:proofErr w:type="gramEnd"/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color w:val="000000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По виду экономической деятельности «Деятельность в области информации и связи» </w:t>
      </w:r>
      <w:r w:rsidR="00C4544B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инвестиционные вложения состав</w:t>
      </w:r>
      <w:r w:rsidR="00C4544B" w:rsidRPr="00DD252F">
        <w:rPr>
          <w:rFonts w:ascii="Times New Roman CYR" w:eastAsiaTheme="minorEastAsia" w:hAnsi="Times New Roman CYR" w:cs="Times New Roman CYR"/>
          <w:sz w:val="28"/>
          <w:szCs w:val="28"/>
        </w:rPr>
        <w:t>ят 450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,</w:t>
      </w:r>
      <w:r w:rsidR="00C4544B" w:rsidRPr="00DD252F">
        <w:rPr>
          <w:rFonts w:ascii="Times New Roman CYR" w:eastAsiaTheme="minorEastAsia" w:hAnsi="Times New Roman CYR" w:cs="Times New Roman CYR"/>
          <w:sz w:val="28"/>
          <w:szCs w:val="28"/>
        </w:rPr>
        <w:t>00 тыс. руб. В 2025 году – 500,00 тыс. руб., в 2026 году – 550,00 тыс. руб., в 2027 году – 610,00 тыс. руб. Повышение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связано </w:t>
      </w:r>
      <w:r w:rsidR="00C4544B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с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у</w:t>
      </w:r>
      <w:r w:rsidR="00C4544B" w:rsidRPr="00DD252F">
        <w:rPr>
          <w:rFonts w:ascii="Times New Roman CYR" w:eastAsiaTheme="minorEastAsia" w:hAnsi="Times New Roman CYR" w:cs="Times New Roman CYR"/>
          <w:sz w:val="28"/>
          <w:szCs w:val="28"/>
        </w:rPr>
        <w:t>величением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вложений денежных средств.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На трехлетний плановый период предприниматели планируют реализовать следующие инвестиционные проекты: 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- СХПСК «Удача» «Увеличение производственных мощностей». Ориентировочно стоимость проекта составит 13 млн. руб.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- «Строитель</w:t>
      </w:r>
      <w:r w:rsidR="0014588C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ство магазина самообслуживания».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Стоимость проекта 16 млн. рублей.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В соответствии с краевым законом Красноярского края «О краевом бюджете на 2024 год и плановый период 2025-2026 годов» от 07.12.2023 №6-2296 предусмотрено финансирование из краевого бюджета на строительство следующих объектов: 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- инженерная защита р. 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Амыл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с. 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Качулька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(2024 год -  113 878,5 тыс. руб.);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- врачебная амбулатория в с. 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Нижние</w:t>
      </w:r>
      <w:proofErr w:type="gram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Куряты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Каратузского района (КГБУЗ  «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Каратузская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РБ») (2024 год – 85 236,6 тыс. рублей);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- 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врачебная</w:t>
      </w:r>
      <w:proofErr w:type="gram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амбулатории в с. 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Качулька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Каратузского района (КГБУЗ  «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Каратузская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РБ») (2025 год – 100 000,0 тыс. рублей).</w:t>
      </w:r>
    </w:p>
    <w:p w:rsidR="00D01270" w:rsidRPr="00DD252F" w:rsidRDefault="00D01270" w:rsidP="00D01270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D01270" w:rsidRPr="00DD252F" w:rsidRDefault="00D01270" w:rsidP="00D01270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 CYR" w:eastAsiaTheme="minorEastAsia" w:hAnsi="Times New Roman CYR" w:cs="Times New Roman CYR"/>
          <w:b/>
          <w:bCs/>
          <w:sz w:val="22"/>
          <w:szCs w:val="28"/>
        </w:rPr>
      </w:pPr>
      <w:r w:rsidRPr="00DD252F">
        <w:rPr>
          <w:rFonts w:ascii="Times New Roman CYR" w:eastAsiaTheme="minorEastAsia" w:hAnsi="Times New Roman CYR" w:cs="Times New Roman CYR"/>
          <w:b/>
          <w:bCs/>
          <w:sz w:val="22"/>
          <w:szCs w:val="28"/>
        </w:rPr>
        <w:t>Объем инвестиций в основной капитал (за исключением бюджетных средств) в расчете на 1 жителя (по крупным и средним организациям)</w:t>
      </w:r>
    </w:p>
    <w:tbl>
      <w:tblPr>
        <w:tblW w:w="10267" w:type="dxa"/>
        <w:jc w:val="center"/>
        <w:tblInd w:w="-4380" w:type="dxa"/>
        <w:tblLook w:val="04A0" w:firstRow="1" w:lastRow="0" w:firstColumn="1" w:lastColumn="0" w:noHBand="0" w:noVBand="1"/>
      </w:tblPr>
      <w:tblGrid>
        <w:gridCol w:w="5077"/>
        <w:gridCol w:w="1205"/>
        <w:gridCol w:w="1204"/>
        <w:gridCol w:w="1205"/>
        <w:gridCol w:w="1576"/>
      </w:tblGrid>
      <w:tr w:rsidR="00A847DF" w:rsidRPr="00DD252F" w:rsidTr="00A847DF">
        <w:trPr>
          <w:trHeight w:val="491"/>
          <w:jc w:val="center"/>
        </w:trPr>
        <w:tc>
          <w:tcPr>
            <w:tcW w:w="5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Наименование показателя и единицы измерения</w:t>
            </w:r>
          </w:p>
        </w:tc>
        <w:tc>
          <w:tcPr>
            <w:tcW w:w="519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DF" w:rsidRPr="00EE51D7" w:rsidRDefault="00EE51D7" w:rsidP="00EE51D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E51D7">
              <w:rPr>
                <w:sz w:val="22"/>
                <w:szCs w:val="22"/>
              </w:rPr>
              <w:t>Значение показателя</w:t>
            </w:r>
          </w:p>
        </w:tc>
      </w:tr>
      <w:tr w:rsidR="00160949" w:rsidRPr="00DD252F" w:rsidTr="00A847DF">
        <w:trPr>
          <w:trHeight w:val="507"/>
          <w:jc w:val="center"/>
        </w:trPr>
        <w:tc>
          <w:tcPr>
            <w:tcW w:w="5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left"/>
              <w:rPr>
                <w:rFonts w:eastAsiaTheme="minorEastAsia"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 xml:space="preserve">2024 </w:t>
            </w:r>
            <w:r w:rsidRPr="00DD252F">
              <w:rPr>
                <w:rFonts w:eastAsiaTheme="minorEastAsia"/>
                <w:color w:val="000000"/>
                <w:sz w:val="22"/>
                <w:szCs w:val="22"/>
              </w:rPr>
              <w:lastRenderedPageBreak/>
              <w:t>оценка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lastRenderedPageBreak/>
              <w:t xml:space="preserve">2025 </w:t>
            </w:r>
            <w:r w:rsidRPr="00DD252F">
              <w:rPr>
                <w:rFonts w:eastAsiaTheme="minorEastAsia"/>
                <w:color w:val="000000"/>
                <w:sz w:val="22"/>
                <w:szCs w:val="22"/>
              </w:rPr>
              <w:lastRenderedPageBreak/>
              <w:t>прогноз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lastRenderedPageBreak/>
              <w:t xml:space="preserve">2026 </w:t>
            </w:r>
            <w:r w:rsidRPr="00DD252F">
              <w:rPr>
                <w:rFonts w:eastAsiaTheme="minorEastAsia"/>
                <w:color w:val="000000"/>
                <w:sz w:val="22"/>
                <w:szCs w:val="22"/>
              </w:rPr>
              <w:lastRenderedPageBreak/>
              <w:t>прогноз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49" w:rsidRPr="00DD252F" w:rsidRDefault="00160949" w:rsidP="00D01270">
            <w:pPr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lastRenderedPageBreak/>
              <w:t>2027</w:t>
            </w:r>
          </w:p>
          <w:p w:rsidR="00160949" w:rsidRPr="00DD252F" w:rsidRDefault="00160949" w:rsidP="00D01270">
            <w:pPr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прогноз</w:t>
            </w:r>
          </w:p>
        </w:tc>
      </w:tr>
      <w:tr w:rsidR="00160949" w:rsidRPr="00DD252F" w:rsidTr="00A847DF">
        <w:trPr>
          <w:trHeight w:val="862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left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lastRenderedPageBreak/>
              <w:t>1. Объем инвестиций в основной капитал за счет всех источников финансирования (без субъектов малого предпринимательства), тыс. руб.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160 611,00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125 568,00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123 840,00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126 158,60</w:t>
            </w:r>
          </w:p>
        </w:tc>
      </w:tr>
      <w:tr w:rsidR="00160949" w:rsidRPr="00DD252F" w:rsidTr="00A847DF">
        <w:trPr>
          <w:trHeight w:val="532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left"/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  <w:t xml:space="preserve">1.1. </w:t>
            </w:r>
            <w:r w:rsidRPr="00DD252F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Темп роста в действующих ценах, к соответствующему периоду предыдущего года,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  <w:t>79,24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  <w:t>78,18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  <w:t>98,62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  <w:t>101,87</w:t>
            </w:r>
          </w:p>
        </w:tc>
      </w:tr>
      <w:tr w:rsidR="00160949" w:rsidRPr="00DD252F" w:rsidTr="00A847DF">
        <w:trPr>
          <w:trHeight w:val="287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left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1.2. Индекс-дефлятор,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sz w:val="22"/>
                <w:szCs w:val="22"/>
              </w:rPr>
              <w:t>109,5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sz w:val="22"/>
                <w:szCs w:val="22"/>
              </w:rPr>
              <w:t>107,5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sz w:val="22"/>
                <w:szCs w:val="22"/>
              </w:rPr>
              <w:t>106,4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sz w:val="22"/>
                <w:szCs w:val="22"/>
              </w:rPr>
              <w:t>104,5</w:t>
            </w:r>
          </w:p>
        </w:tc>
      </w:tr>
      <w:tr w:rsidR="00160949" w:rsidRPr="00DD252F" w:rsidTr="00A847DF">
        <w:trPr>
          <w:trHeight w:val="488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left"/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0"/>
                <w:szCs w:val="20"/>
              </w:rPr>
              <w:t>1.3. Темп роста в сопоставимых ценах, к соответствующему периоду предыдущего года,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  <w:t>72,40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  <w:t>72,73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  <w:t>92,69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i/>
                <w:iCs/>
                <w:color w:val="000000"/>
                <w:sz w:val="22"/>
                <w:szCs w:val="22"/>
              </w:rPr>
              <w:t>97,48</w:t>
            </w:r>
          </w:p>
        </w:tc>
      </w:tr>
      <w:tr w:rsidR="00160949" w:rsidRPr="00DD252F" w:rsidTr="00A847DF">
        <w:trPr>
          <w:trHeight w:val="575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left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2. Инвестиции в основной капитал за счет бюджетных средств, тыс. руб.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111 861,00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74 308,00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70 130,00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69 301,97</w:t>
            </w:r>
          </w:p>
        </w:tc>
      </w:tr>
      <w:tr w:rsidR="00160949" w:rsidRPr="00DD252F" w:rsidTr="00A847DF">
        <w:trPr>
          <w:trHeight w:val="575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left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3. Объем инвестиций без бюджетных средств, тыс. руб. (стр. 1 – стр. 2)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48 750,00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51 260,00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53 710,00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56 856,03</w:t>
            </w:r>
          </w:p>
        </w:tc>
      </w:tr>
      <w:tr w:rsidR="00160949" w:rsidRPr="00DD252F" w:rsidTr="00A847DF">
        <w:trPr>
          <w:trHeight w:val="261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left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 xml:space="preserve">4. </w:t>
            </w:r>
            <w:r w:rsidRPr="00DD252F">
              <w:rPr>
                <w:rFonts w:eastAsiaTheme="minorEastAsia"/>
                <w:b/>
                <w:bCs/>
                <w:color w:val="C00000"/>
                <w:sz w:val="22"/>
                <w:szCs w:val="22"/>
              </w:rPr>
              <w:t xml:space="preserve">Среднегодовая </w:t>
            </w: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численность населения муниципального, городского округа (муниципального района), чел.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13 035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12 791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12 548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color w:val="000000"/>
                <w:sz w:val="22"/>
                <w:szCs w:val="22"/>
              </w:rPr>
              <w:t>12 315</w:t>
            </w:r>
          </w:p>
        </w:tc>
      </w:tr>
      <w:tr w:rsidR="00160949" w:rsidRPr="00DD252F" w:rsidTr="00A847DF">
        <w:trPr>
          <w:trHeight w:val="1063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left"/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5. Объем инвестиций в основной капитал (за исключением бюджетных средств) в расчете на 1 человека населения, руб. (стр. 3*1000/стр. 4)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3 739,93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4 007,51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4 280,36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60949" w:rsidRPr="00DD252F" w:rsidRDefault="00160949" w:rsidP="00D01270">
            <w:pPr>
              <w:spacing w:after="200" w:line="276" w:lineRule="auto"/>
              <w:jc w:val="center"/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</w:pPr>
            <w:r w:rsidRPr="00DD252F">
              <w:rPr>
                <w:rFonts w:eastAsiaTheme="minorEastAsia"/>
                <w:b/>
                <w:bCs/>
                <w:color w:val="000000"/>
                <w:sz w:val="22"/>
                <w:szCs w:val="22"/>
              </w:rPr>
              <w:t>4 616,86</w:t>
            </w:r>
          </w:p>
        </w:tc>
      </w:tr>
    </w:tbl>
    <w:p w:rsidR="00A17660" w:rsidRPr="00DD252F" w:rsidRDefault="00A17660" w:rsidP="00D01270">
      <w:pPr>
        <w:jc w:val="left"/>
        <w:rPr>
          <w:rFonts w:ascii="Times New Roman CYR" w:hAnsi="Times New Roman CYR" w:cs="Times New Roman CYR"/>
          <w:sz w:val="28"/>
          <w:szCs w:val="28"/>
        </w:rPr>
      </w:pPr>
    </w:p>
    <w:p w:rsidR="004075FA" w:rsidRPr="00DD252F" w:rsidRDefault="004075FA" w:rsidP="00BC6D44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 CYR" w:eastAsiaTheme="minorEastAsia" w:hAnsi="Times New Roman CYR" w:cs="Times New Roman CYR"/>
          <w:color w:val="000000"/>
          <w:sz w:val="12"/>
          <w:szCs w:val="12"/>
        </w:rPr>
      </w:pPr>
      <w:r w:rsidRPr="00DD252F">
        <w:rPr>
          <w:rFonts w:ascii="Times New Roman CYR" w:eastAsiaTheme="minorEastAsia" w:hAnsi="Times New Roman CYR" w:cs="Times New Roman CYR"/>
          <w:b/>
          <w:bCs/>
          <w:color w:val="000000"/>
          <w:sz w:val="28"/>
          <w:szCs w:val="28"/>
        </w:rPr>
        <w:t>Строительство</w:t>
      </w:r>
    </w:p>
    <w:p w:rsidR="004075FA" w:rsidRPr="00DD252F" w:rsidRDefault="004075FA" w:rsidP="004075FA">
      <w:pPr>
        <w:widowControl w:val="0"/>
        <w:autoSpaceDE w:val="0"/>
        <w:autoSpaceDN w:val="0"/>
        <w:adjustRightInd w:val="0"/>
        <w:jc w:val="left"/>
        <w:rPr>
          <w:rFonts w:ascii="Times New Roman CYR" w:eastAsiaTheme="minorEastAsia" w:hAnsi="Times New Roman CYR" w:cs="Times New Roman CYR"/>
          <w:sz w:val="28"/>
        </w:rPr>
      </w:pPr>
    </w:p>
    <w:p w:rsidR="004075FA" w:rsidRPr="00DD252F" w:rsidRDefault="004075FA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Строительство в Каратузском районе осуществляется в основном частными организациями. </w:t>
      </w:r>
    </w:p>
    <w:p w:rsidR="004075FA" w:rsidRPr="00DD252F" w:rsidRDefault="004075FA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По оценке 2024 года ввод</w:t>
      </w:r>
      <w:r w:rsidR="000D3409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малоэтажного жилья ожидается 4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580,00 кв. м, в прогнозируемом периоде планируется вво</w:t>
      </w:r>
      <w:r w:rsidR="000D3409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д: в 2025 году – 4580,00 кв. м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, в 2026 году – 4611</w:t>
      </w:r>
      <w:r w:rsidR="000D3409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,00  кв. м.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, в 2</w:t>
      </w:r>
      <w:r w:rsidR="000D3409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027 году – 4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642</w:t>
      </w:r>
      <w:r w:rsidR="000D3409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,00 кв. м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.</w:t>
      </w:r>
      <w:r w:rsidR="000D3409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, темп роста к оценке 2024 года составит 101,35%.</w:t>
      </w:r>
    </w:p>
    <w:p w:rsidR="004075FA" w:rsidRPr="00DD252F" w:rsidRDefault="004075FA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Общая площадь жилищного фонда, введенная по оценке 2024 года</w:t>
      </w:r>
      <w:r w:rsidR="00BC4B27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(за один год)</w:t>
      </w:r>
      <w:r w:rsidR="00D52D6B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и приходящаяся на 1 человека</w:t>
      </w:r>
      <w:r w:rsidR="00043A5C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,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</w:t>
      </w:r>
      <w:r w:rsidR="00974046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составит 0,35 кв. м., 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в прогнозируемом перио</w:t>
      </w:r>
      <w:r w:rsidR="00974046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де 2025 г. составит 0,36 кв. м.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, в </w:t>
      </w:r>
      <w:r w:rsidR="00974046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2026 году – 0,37 кв. м.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, в 2027 го</w:t>
      </w:r>
      <w:r w:rsidR="00974046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ду – 0,38 кв. м. (темп роста 108,57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% к </w:t>
      </w:r>
      <w:r w:rsidR="00974046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оценке 2024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года).</w:t>
      </w:r>
    </w:p>
    <w:p w:rsidR="004075FA" w:rsidRPr="00DD252F" w:rsidRDefault="004075FA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Обеспечение жильем в селе молодых специалистов и молодых семей оста</w:t>
      </w:r>
      <w:r w:rsidR="001F3C07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нется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приоритетным направлением на</w:t>
      </w:r>
      <w:r w:rsidR="001F3C07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прогнозируемый период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. Работая в данном направлении, в 202</w:t>
      </w:r>
      <w:r w:rsidR="001F3C07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5-2027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год</w:t>
      </w:r>
      <w:r w:rsidR="001F3C07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ах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Каратузский район</w:t>
      </w:r>
      <w:r w:rsidR="001F3C07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планирует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продолж</w:t>
      </w:r>
      <w:r w:rsidR="001F3C07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ать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участие в жилищных программах, реализация которых осуществляется за счет федерального, краевого и местного бюджетов.</w:t>
      </w:r>
    </w:p>
    <w:p w:rsidR="004075FA" w:rsidRPr="00DD252F" w:rsidRDefault="004075FA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proofErr w:type="gramStart"/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При совместной работе с Министерством строительства Красноярского края в районе реализуется мероприятие 8 «Субсидии бюджетам муниципальных образований Красноярского края на предоставление 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lastRenderedPageBreak/>
        <w:t>социальных выплат молодым семьям на приобретение (строительство) жилья»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граждан», утвержденной постановлением Правительства Красноярского края от 30.09.2013 № 514-п.</w:t>
      </w:r>
      <w:proofErr w:type="gramEnd"/>
    </w:p>
    <w:p w:rsidR="00152AA7" w:rsidRPr="00DD252F" w:rsidRDefault="00152AA7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По оценке 2024 года по программе улучшат свои жилищные условия 3 молодые семьи, будет приобретено или построено около </w:t>
      </w:r>
      <w:r w:rsidR="00012F3E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250 кв. м. жилья.</w:t>
      </w:r>
      <w:r w:rsidR="004F013B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В прогнозном периоде: 2025 год – 3 семьи, 2026 год – 4 семьи, 2027 год – 4 семьи.</w:t>
      </w:r>
    </w:p>
    <w:p w:rsidR="004075FA" w:rsidRPr="00DD252F" w:rsidRDefault="004075FA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Вторая программа, в которой участвует наш район для улучшения жилищных условий молодых семей и молодых специалистов, а так же привлечения молодежи на село подпрограмма «Комплексное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продовольствия», утвержденной 30.09.2013 № 506-п.</w:t>
      </w:r>
    </w:p>
    <w:p w:rsidR="004075FA" w:rsidRPr="00DD252F" w:rsidRDefault="004075FA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Для улучшения жилищных условий граждан, молодых семей и молодых специалистов Каратузский район участвует в мероприятиях подпрограммы «Комплексное развитие сельских территорий».</w:t>
      </w:r>
    </w:p>
    <w:p w:rsidR="004075FA" w:rsidRPr="00DD252F" w:rsidRDefault="0082548F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По оценке 2024 года планируется выдать 11</w:t>
      </w:r>
      <w:r w:rsidR="004075FA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свидетельств молодым семьям и молодым специалистам на строительство или приобретение жилья. Общая площадь построенного и приобретенного жилья состави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т</w:t>
      </w:r>
      <w:r w:rsidR="004075FA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более 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670</w:t>
      </w:r>
      <w:r w:rsidR="004075FA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кв</w:t>
      </w:r>
      <w:r w:rsidR="004075FA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.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м.</w:t>
      </w:r>
    </w:p>
    <w:p w:rsidR="004075FA" w:rsidRPr="00DD252F" w:rsidRDefault="004075FA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В Каратузском районе в рамках ФЗ №159-ФЗ «О дополнительных гарантиях по социальной поддержке детей-сирот и детей, оставшихся без попечения родителей» </w:t>
      </w:r>
      <w:r w:rsidR="00052828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по оценке 2024 года планируется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приобре</w:t>
      </w:r>
      <w:r w:rsidR="00052828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сти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 xml:space="preserve"> </w:t>
      </w:r>
      <w:r w:rsidR="00052828"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жилье для двух человек.</w:t>
      </w:r>
    </w:p>
    <w:p w:rsidR="004075FA" w:rsidRPr="00DD252F" w:rsidRDefault="004075FA" w:rsidP="004075FA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  <w:t>В плановом трехлетнем периоде 2025-2027 годы продолжится участие района в жилищных программах.</w:t>
      </w:r>
    </w:p>
    <w:p w:rsidR="007F2860" w:rsidRPr="00DD252F" w:rsidRDefault="007F2860" w:rsidP="004075FA">
      <w:pPr>
        <w:jc w:val="left"/>
        <w:rPr>
          <w:rFonts w:ascii="Times New Roman CYR" w:eastAsiaTheme="minorEastAsia" w:hAnsi="Times New Roman CYR" w:cs="Times New Roman CYR"/>
          <w:bCs/>
          <w:sz w:val="28"/>
          <w:szCs w:val="28"/>
          <w:lang w:eastAsia="en-US"/>
        </w:rPr>
      </w:pPr>
    </w:p>
    <w:p w:rsidR="00A706CB" w:rsidRPr="00DD252F" w:rsidRDefault="00A706CB" w:rsidP="00A706CB">
      <w:pPr>
        <w:ind w:firstLine="709"/>
        <w:rPr>
          <w:b/>
          <w:sz w:val="28"/>
          <w:szCs w:val="28"/>
        </w:rPr>
      </w:pPr>
      <w:r w:rsidRPr="00DD252F">
        <w:rPr>
          <w:b/>
          <w:sz w:val="28"/>
          <w:szCs w:val="28"/>
        </w:rPr>
        <w:t>Финансовый результат деятельности организаций</w:t>
      </w:r>
    </w:p>
    <w:p w:rsidR="007F2860" w:rsidRPr="00DD252F" w:rsidRDefault="007F2860" w:rsidP="00A706CB">
      <w:pPr>
        <w:ind w:firstLine="709"/>
        <w:rPr>
          <w:b/>
          <w:sz w:val="28"/>
          <w:szCs w:val="28"/>
        </w:rPr>
      </w:pPr>
    </w:p>
    <w:p w:rsidR="00A706CB" w:rsidRPr="00DD252F" w:rsidRDefault="00A706CB" w:rsidP="00A706CB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Налогооблагаемая база для исчисления налога на прибыль </w:t>
      </w:r>
      <w:r w:rsidR="005236F4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ожидается 43524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,00 тыс. рублей</w:t>
      </w:r>
      <w:r w:rsidR="0079155B" w:rsidRPr="00DD252F">
        <w:rPr>
          <w:rFonts w:ascii="Times New Roman CYR" w:eastAsiaTheme="minorEastAsia" w:hAnsi="Times New Roman CYR" w:cs="Times New Roman CYR"/>
          <w:sz w:val="28"/>
          <w:szCs w:val="28"/>
        </w:rPr>
        <w:t>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proofErr w:type="gramStart"/>
      <w:r w:rsidR="00F30417" w:rsidRPr="00DD252F">
        <w:rPr>
          <w:rFonts w:ascii="Times New Roman CYR" w:eastAsiaTheme="minorEastAsia" w:hAnsi="Times New Roman CYR" w:cs="Times New Roman CYR"/>
          <w:sz w:val="28"/>
          <w:szCs w:val="28"/>
        </w:rPr>
        <w:t>В прогнозном периоде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ожидается  незначите</w:t>
      </w:r>
      <w:r w:rsidR="00F30417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льный рост налогооблагаемой базы, которая составит: 2025 год -46788,30 тыс. рублей, 2026 год – 49782,75 тыс. рублей, 2027 год – 52072,76 тыс. рублей, темп роста к оценке 2024 года составит 119,64%.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Ожидается, что на рост налогооблагаемой прибыли повлияет урожайность</w:t>
      </w:r>
      <w:r w:rsidR="006221AF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зерновых и технических культур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 связи с благоприятными климатическими условиями.</w:t>
      </w:r>
      <w:proofErr w:type="gram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Основным плательщиком налога на прибыль, также остается АО «Каратузское ДРСУ».</w:t>
      </w:r>
    </w:p>
    <w:p w:rsidR="00A706CB" w:rsidRPr="00DD252F" w:rsidRDefault="00A706CB" w:rsidP="00A706CB">
      <w:pPr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Количество прибыльных сельскохозяйственных предприятий </w:t>
      </w:r>
      <w:r w:rsidR="00872006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и в прогнозируемом периоде 2025-2027 гг. составит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два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>предприятия ООО «Стожары» и  СХА (Колхоза) им. Ленина. Финансовая деятельность предприятий осуществляется с прибылью.</w:t>
      </w:r>
    </w:p>
    <w:p w:rsidR="00A2067F" w:rsidRPr="00DD252F" w:rsidRDefault="00872006" w:rsidP="00872006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Расходы консолидированного бюджета на региональные и муниципальные программы поддержки малого и среднего предпринимательства </w:t>
      </w:r>
      <w:r w:rsidR="003B7EDE"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составят 1855,20 тыс. руб.</w:t>
      </w:r>
      <w:r w:rsidR="00352D20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, в 2025 году – 6600,12 тыс. руб., в 2026 году – 7600,12 тыс. руб., в 2027 году – 8534,50 тыс. руб. </w:t>
      </w:r>
    </w:p>
    <w:p w:rsidR="00872006" w:rsidRPr="00DD252F" w:rsidRDefault="00872006" w:rsidP="00A706CB">
      <w:pPr>
        <w:ind w:firstLine="709"/>
        <w:jc w:val="left"/>
        <w:rPr>
          <w:rFonts w:ascii="Times New Roman CYR" w:hAnsi="Times New Roman CYR" w:cs="Times New Roman CYR"/>
          <w:sz w:val="28"/>
          <w:szCs w:val="28"/>
        </w:rPr>
      </w:pPr>
    </w:p>
    <w:p w:rsidR="00751872" w:rsidRPr="00DD252F" w:rsidRDefault="00751872" w:rsidP="003756F6">
      <w:pPr>
        <w:ind w:firstLine="709"/>
        <w:jc w:val="left"/>
        <w:rPr>
          <w:b/>
          <w:sz w:val="28"/>
          <w:szCs w:val="28"/>
        </w:rPr>
      </w:pPr>
      <w:r w:rsidRPr="00DD252F">
        <w:rPr>
          <w:b/>
          <w:color w:val="000000" w:themeColor="text1"/>
          <w:sz w:val="28"/>
          <w:szCs w:val="28"/>
        </w:rPr>
        <w:t xml:space="preserve">Развитие отрасли </w:t>
      </w:r>
      <w:r w:rsidRPr="00DD252F">
        <w:rPr>
          <w:b/>
          <w:sz w:val="28"/>
          <w:szCs w:val="28"/>
        </w:rPr>
        <w:t xml:space="preserve">жилищно-коммунального хозяйства </w:t>
      </w:r>
    </w:p>
    <w:p w:rsidR="00A2067F" w:rsidRPr="00DD252F" w:rsidRDefault="00A2067F" w:rsidP="003756F6">
      <w:pPr>
        <w:ind w:firstLine="709"/>
        <w:jc w:val="left"/>
        <w:rPr>
          <w:b/>
          <w:sz w:val="28"/>
          <w:szCs w:val="28"/>
        </w:rPr>
      </w:pP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bookmarkStart w:id="4" w:name="_Toc303155321"/>
      <w:r w:rsidRPr="00DD252F">
        <w:rPr>
          <w:rFonts w:eastAsiaTheme="minorEastAsia"/>
          <w:snapToGrid w:val="0"/>
          <w:sz w:val="28"/>
          <w:szCs w:val="28"/>
          <w:lang w:eastAsia="en-US"/>
        </w:rPr>
        <w:t>Структура коммунального хозяйства Каратузского района:</w:t>
      </w: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>- котельные – 9 ед.</w:t>
      </w:r>
      <w:r w:rsidR="00612325" w:rsidRPr="00DD252F">
        <w:rPr>
          <w:rFonts w:eastAsiaTheme="minorEastAsia"/>
          <w:snapToGrid w:val="0"/>
          <w:sz w:val="28"/>
          <w:szCs w:val="28"/>
          <w:lang w:eastAsia="en-US"/>
        </w:rPr>
        <w:t>;</w:t>
      </w: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>- тепловые сети – 8,19 км (в двухтрубном исполнении)</w:t>
      </w:r>
      <w:r w:rsidR="00612325" w:rsidRPr="00DD252F">
        <w:rPr>
          <w:rFonts w:eastAsiaTheme="minorEastAsia"/>
          <w:snapToGrid w:val="0"/>
          <w:sz w:val="28"/>
          <w:szCs w:val="28"/>
          <w:lang w:eastAsia="en-US"/>
        </w:rPr>
        <w:t>;</w:t>
      </w: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>- водозаборные сооружения – 20 ед.</w:t>
      </w:r>
      <w:r w:rsidR="00612325" w:rsidRPr="00DD252F">
        <w:rPr>
          <w:rFonts w:eastAsiaTheme="minorEastAsia"/>
          <w:snapToGrid w:val="0"/>
          <w:sz w:val="28"/>
          <w:szCs w:val="28"/>
          <w:lang w:eastAsia="en-US"/>
        </w:rPr>
        <w:t>;</w:t>
      </w:r>
    </w:p>
    <w:p w:rsidR="001654BC" w:rsidRPr="00DD252F" w:rsidRDefault="00F24300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>-</w:t>
      </w:r>
      <w:r w:rsidR="00C93D61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</w:t>
      </w:r>
      <w:r w:rsidR="001654BC" w:rsidRPr="00DD252F">
        <w:rPr>
          <w:rFonts w:eastAsiaTheme="minorEastAsia"/>
          <w:snapToGrid w:val="0"/>
          <w:sz w:val="28"/>
          <w:szCs w:val="28"/>
          <w:lang w:eastAsia="en-US"/>
        </w:rPr>
        <w:t>водопроводные сети – 102,6 км (из них 97,5 км уличной водопроводной сети)</w:t>
      </w:r>
      <w:r w:rsidR="00612325" w:rsidRPr="00DD252F">
        <w:rPr>
          <w:rFonts w:eastAsiaTheme="minorEastAsia"/>
          <w:snapToGrid w:val="0"/>
          <w:sz w:val="28"/>
          <w:szCs w:val="28"/>
          <w:lang w:eastAsia="en-US"/>
        </w:rPr>
        <w:t>.</w:t>
      </w:r>
    </w:p>
    <w:p w:rsidR="00580AA2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>На территории района</w:t>
      </w:r>
      <w:r w:rsidR="00E5475C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по оценке 2024 года будут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действ</w:t>
      </w:r>
      <w:r w:rsidR="00E5475C" w:rsidRPr="00DD252F">
        <w:rPr>
          <w:rFonts w:eastAsiaTheme="minorEastAsia"/>
          <w:snapToGrid w:val="0"/>
          <w:sz w:val="28"/>
          <w:szCs w:val="28"/>
          <w:lang w:eastAsia="en-US"/>
        </w:rPr>
        <w:t>овать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3 предприятия коммунального комплекса: ООО «Каратузский </w:t>
      </w:r>
      <w:r w:rsidR="00580AA2" w:rsidRPr="00DD252F">
        <w:rPr>
          <w:rFonts w:eastAsiaTheme="minorEastAsia"/>
          <w:snapToGrid w:val="0"/>
          <w:sz w:val="28"/>
          <w:szCs w:val="28"/>
          <w:lang w:eastAsia="en-US"/>
        </w:rPr>
        <w:t>ТВК», ПАО «</w:t>
      </w:r>
      <w:proofErr w:type="spellStart"/>
      <w:r w:rsidR="00580AA2" w:rsidRPr="00DD252F">
        <w:rPr>
          <w:rFonts w:eastAsiaTheme="minorEastAsia"/>
          <w:snapToGrid w:val="0"/>
          <w:sz w:val="28"/>
          <w:szCs w:val="28"/>
          <w:lang w:eastAsia="en-US"/>
        </w:rPr>
        <w:t>Красноярсэнергосбыт</w:t>
      </w:r>
      <w:proofErr w:type="spellEnd"/>
      <w:r w:rsidR="00580AA2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» 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и </w:t>
      </w:r>
      <w:r w:rsidR="00580AA2" w:rsidRPr="00DD252F">
        <w:rPr>
          <w:rFonts w:eastAsiaTheme="minorEastAsia"/>
          <w:snapToGrid w:val="0"/>
          <w:sz w:val="28"/>
          <w:szCs w:val="28"/>
          <w:lang w:eastAsia="en-US"/>
        </w:rPr>
        <w:t>ООО «</w:t>
      </w:r>
      <w:proofErr w:type="spellStart"/>
      <w:r w:rsidR="00580AA2" w:rsidRPr="00DD252F">
        <w:rPr>
          <w:rFonts w:eastAsiaTheme="minorEastAsia"/>
          <w:snapToGrid w:val="0"/>
          <w:sz w:val="28"/>
          <w:szCs w:val="28"/>
          <w:lang w:eastAsia="en-US"/>
        </w:rPr>
        <w:t>РОСТтех</w:t>
      </w:r>
      <w:proofErr w:type="spellEnd"/>
      <w:r w:rsidR="00580AA2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» </w:t>
      </w:r>
      <w:proofErr w:type="gramStart"/>
      <w:r w:rsidR="00580AA2" w:rsidRPr="00DD252F">
        <w:rPr>
          <w:rFonts w:eastAsiaTheme="minorEastAsia"/>
          <w:snapToGrid w:val="0"/>
          <w:sz w:val="28"/>
          <w:szCs w:val="28"/>
          <w:lang w:eastAsia="en-US"/>
        </w:rPr>
        <w:t>–ч</w:t>
      </w:r>
      <w:proofErr w:type="gramEnd"/>
      <w:r w:rsidR="00580AA2" w:rsidRPr="00DD252F">
        <w:rPr>
          <w:rFonts w:eastAsiaTheme="minorEastAsia"/>
          <w:snapToGrid w:val="0"/>
          <w:sz w:val="28"/>
          <w:szCs w:val="28"/>
          <w:lang w:eastAsia="en-US"/>
        </w:rPr>
        <w:t>астные предприятия.</w:t>
      </w: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>ООО «Каратузский ТВК» оказывает услуги по тепло-, водоснабжению и водоотведению, ПАО «</w:t>
      </w:r>
      <w:proofErr w:type="spellStart"/>
      <w:r w:rsidRPr="00DD252F">
        <w:rPr>
          <w:rFonts w:eastAsiaTheme="minorEastAsia"/>
          <w:snapToGrid w:val="0"/>
          <w:sz w:val="28"/>
          <w:szCs w:val="28"/>
          <w:lang w:eastAsia="en-US"/>
        </w:rPr>
        <w:t>Красноярскэнергосбыт</w:t>
      </w:r>
      <w:proofErr w:type="spellEnd"/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» оказывает услуги по электроснабжению, </w:t>
      </w:r>
      <w:proofErr w:type="gramStart"/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а </w:t>
      </w:r>
      <w:r w:rsidR="007F0B7E" w:rsidRPr="00DD252F">
        <w:rPr>
          <w:rFonts w:eastAsiaTheme="minorEastAsia"/>
          <w:snapToGrid w:val="0"/>
          <w:sz w:val="28"/>
          <w:szCs w:val="28"/>
          <w:lang w:eastAsia="en-US"/>
        </w:rPr>
        <w:t>ООО</w:t>
      </w:r>
      <w:proofErr w:type="gramEnd"/>
      <w:r w:rsidR="007F0B7E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«</w:t>
      </w:r>
      <w:proofErr w:type="spellStart"/>
      <w:r w:rsidR="007F0B7E" w:rsidRPr="00DD252F">
        <w:rPr>
          <w:rFonts w:eastAsiaTheme="minorEastAsia"/>
          <w:snapToGrid w:val="0"/>
          <w:sz w:val="28"/>
          <w:szCs w:val="28"/>
          <w:lang w:eastAsia="en-US"/>
        </w:rPr>
        <w:t>РОСТтех</w:t>
      </w:r>
      <w:proofErr w:type="spellEnd"/>
      <w:r w:rsidR="007F0B7E" w:rsidRPr="00DD252F">
        <w:rPr>
          <w:rFonts w:eastAsiaTheme="minorEastAsia"/>
          <w:snapToGrid w:val="0"/>
          <w:sz w:val="28"/>
          <w:szCs w:val="28"/>
          <w:lang w:eastAsia="en-US"/>
        </w:rPr>
        <w:t>»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осуществляет деятельность по оказанию услуг в области обращения с твердыми коммунальными отходами. </w:t>
      </w: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proofErr w:type="gramStart"/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Сумма доходов от оказания жилищно-коммунальных услуг населению </w:t>
      </w:r>
      <w:r w:rsidR="00B35488">
        <w:rPr>
          <w:rFonts w:eastAsiaTheme="minorEastAsia"/>
          <w:snapToGrid w:val="0"/>
          <w:sz w:val="28"/>
          <w:szCs w:val="28"/>
          <w:lang w:eastAsia="en-US"/>
        </w:rPr>
        <w:t>(</w:t>
      </w:r>
      <w:r w:rsidR="00B8410D">
        <w:rPr>
          <w:rFonts w:eastAsiaTheme="minorEastAsia"/>
          <w:snapToGrid w:val="0"/>
          <w:sz w:val="28"/>
          <w:szCs w:val="28"/>
          <w:lang w:eastAsia="en-US"/>
        </w:rPr>
        <w:t>с учетом финансирования из бюджетов всех уровней</w:t>
      </w:r>
      <w:r w:rsidR="00B35488">
        <w:rPr>
          <w:rFonts w:eastAsiaTheme="minorEastAsia"/>
          <w:snapToGrid w:val="0"/>
          <w:sz w:val="28"/>
          <w:szCs w:val="28"/>
          <w:lang w:eastAsia="en-US"/>
        </w:rPr>
        <w:t>)</w:t>
      </w:r>
      <w:r w:rsidR="00B8410D">
        <w:rPr>
          <w:rFonts w:eastAsiaTheme="minorEastAsia"/>
          <w:snapToGrid w:val="0"/>
          <w:sz w:val="28"/>
          <w:szCs w:val="28"/>
          <w:lang w:eastAsia="en-US"/>
        </w:rPr>
        <w:t xml:space="preserve"> </w:t>
      </w:r>
      <w:r w:rsidR="008B05E4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по оценке 2024 года </w:t>
      </w:r>
      <w:r w:rsidR="00B8410D">
        <w:rPr>
          <w:rFonts w:eastAsiaTheme="minorEastAsia"/>
          <w:snapToGrid w:val="0"/>
          <w:sz w:val="28"/>
          <w:szCs w:val="28"/>
          <w:lang w:eastAsia="en-US"/>
        </w:rPr>
        <w:t>составит 263655,91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</w:t>
      </w:r>
      <w:r w:rsidR="008B05E4" w:rsidRPr="00DD252F">
        <w:rPr>
          <w:rFonts w:eastAsiaTheme="minorEastAsia"/>
          <w:snapToGrid w:val="0"/>
          <w:sz w:val="28"/>
          <w:szCs w:val="28"/>
          <w:lang w:eastAsia="en-US"/>
        </w:rPr>
        <w:t>тыс. руб.</w:t>
      </w:r>
      <w:r w:rsidR="00320720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Прогноз на 2025 год – </w:t>
      </w:r>
      <w:r w:rsidR="00B8410D">
        <w:rPr>
          <w:rFonts w:eastAsiaTheme="minorEastAsia"/>
          <w:snapToGrid w:val="0"/>
          <w:sz w:val="28"/>
          <w:szCs w:val="28"/>
          <w:lang w:eastAsia="en-US"/>
        </w:rPr>
        <w:t>273187,41 тыс. руб., на 2026 год – 286300,41 тыс. руб., на 2027 год – 297752</w:t>
      </w:r>
      <w:r w:rsidR="008C711C" w:rsidRPr="00DD252F">
        <w:rPr>
          <w:rFonts w:eastAsiaTheme="minorEastAsia"/>
          <w:snapToGrid w:val="0"/>
          <w:sz w:val="28"/>
          <w:szCs w:val="28"/>
          <w:lang w:eastAsia="en-US"/>
        </w:rPr>
        <w:t>,</w:t>
      </w:r>
      <w:r w:rsidR="00B8410D">
        <w:rPr>
          <w:rFonts w:eastAsiaTheme="minorEastAsia"/>
          <w:snapToGrid w:val="0"/>
          <w:sz w:val="28"/>
          <w:szCs w:val="28"/>
          <w:lang w:eastAsia="en-US"/>
        </w:rPr>
        <w:t>42</w:t>
      </w:r>
      <w:r w:rsidR="008C711C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тыс. руб. Увеличение суммы доходов от оказания жилищно-ко</w:t>
      </w:r>
      <w:r w:rsidR="00B8410D">
        <w:rPr>
          <w:rFonts w:eastAsiaTheme="minorEastAsia"/>
          <w:snapToGrid w:val="0"/>
          <w:sz w:val="28"/>
          <w:szCs w:val="28"/>
          <w:lang w:eastAsia="en-US"/>
        </w:rPr>
        <w:t>ммунальных услуг населению на 11,93</w:t>
      </w:r>
      <w:r w:rsidR="008C711C" w:rsidRPr="00DD252F">
        <w:rPr>
          <w:rFonts w:eastAsiaTheme="minorEastAsia"/>
          <w:snapToGrid w:val="0"/>
          <w:sz w:val="28"/>
          <w:szCs w:val="28"/>
          <w:lang w:eastAsia="en-US"/>
        </w:rPr>
        <w:t>% к оценке 2024 года.</w:t>
      </w:r>
      <w:proofErr w:type="gramEnd"/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Уровень износа объектов коммунальной инфраструктуры </w:t>
      </w:r>
      <w:r w:rsidR="00FC6829" w:rsidRPr="00DD252F">
        <w:rPr>
          <w:rFonts w:eastAsiaTheme="minorEastAsia"/>
          <w:snapToGrid w:val="0"/>
          <w:sz w:val="28"/>
          <w:szCs w:val="28"/>
          <w:lang w:eastAsia="en-US"/>
        </w:rPr>
        <w:t>по оценке 2024 года составит 50,20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>%.</w:t>
      </w:r>
      <w:r w:rsidR="00FC6829" w:rsidRPr="00DD252F">
        <w:rPr>
          <w:rFonts w:eastAsiaTheme="minorEastAsia"/>
          <w:snapToGrid w:val="0"/>
          <w:sz w:val="28"/>
          <w:szCs w:val="28"/>
          <w:lang w:eastAsia="en-US"/>
        </w:rPr>
        <w:t>, в прогнозном периоде 2025-2027 гг. – 50,00%.</w:t>
      </w: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>В 2024 году в рамках реализации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планируется проведение капитального ремонта 1,93 км водопроводных сетей, 1 водозаборного сооружения. Силами предприятия ООО «Каратузский ТВК» планируется проведение замены 1 водогрейного котла в котельной, капитальный ремонт 85 метров водопровода.</w:t>
      </w: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Жилищный фонд Каратузского района: </w:t>
      </w: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proofErr w:type="gramStart"/>
      <w:r w:rsidRPr="00DD252F">
        <w:rPr>
          <w:rFonts w:eastAsiaTheme="minorEastAsia"/>
          <w:snapToGrid w:val="0"/>
          <w:sz w:val="28"/>
          <w:szCs w:val="28"/>
          <w:lang w:eastAsia="en-US"/>
        </w:rPr>
        <w:t>Общая пло</w:t>
      </w:r>
      <w:r w:rsidR="004E1034" w:rsidRPr="00DD252F">
        <w:rPr>
          <w:rFonts w:eastAsiaTheme="minorEastAsia"/>
          <w:snapToGrid w:val="0"/>
          <w:sz w:val="28"/>
          <w:szCs w:val="28"/>
          <w:lang w:eastAsia="en-US"/>
        </w:rPr>
        <w:t>щадь жилищного фонда составит по оценке 2024 года 386,080 тыс. кв. м., в прогнозном периоде: 2025 год – 388,580 тыс. кв. м., 2026 год – 391,080 тыс. кв. м, 2027 год – 393,580 тыс. кв. м.</w:t>
      </w:r>
      <w:r w:rsidR="00A56FD9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(увеличение общей площади жилищного фонда на 7,5 тыс. кв. м. к оценке 2024 года).</w:t>
      </w:r>
      <w:proofErr w:type="gramEnd"/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На территории района осуществляет свою деятельность одна 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lastRenderedPageBreak/>
        <w:t xml:space="preserve">управляющая компания ООО «Каратузский ТВК», на обслуживании которой </w:t>
      </w:r>
      <w:r w:rsidR="00A56FD9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по оценке 2024 года будут 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>находит</w:t>
      </w:r>
      <w:r w:rsidR="00A56FD9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ься 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>23 многоквартирных дома.</w:t>
      </w: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>По</w:t>
      </w:r>
      <w:r w:rsidR="00A56FD9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оценке 2024 года 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>на территории Каратузского района</w:t>
      </w:r>
      <w:r w:rsidR="00A56FD9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будут 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>находит</w:t>
      </w:r>
      <w:r w:rsidR="00A56FD9" w:rsidRPr="00DD252F">
        <w:rPr>
          <w:rFonts w:eastAsiaTheme="minorEastAsia"/>
          <w:snapToGrid w:val="0"/>
          <w:sz w:val="28"/>
          <w:szCs w:val="28"/>
          <w:lang w:eastAsia="en-US"/>
        </w:rPr>
        <w:t>ь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ся 27 многоквартирных домов, из них </w:t>
      </w:r>
      <w:r w:rsidR="001248B4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все </w:t>
      </w:r>
      <w:r w:rsidR="00A56FD9" w:rsidRPr="00DD252F">
        <w:rPr>
          <w:rFonts w:eastAsiaTheme="minorEastAsia"/>
          <w:snapToGrid w:val="0"/>
          <w:sz w:val="28"/>
          <w:szCs w:val="28"/>
          <w:lang w:eastAsia="en-US"/>
        </w:rPr>
        <w:t>27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домов</w:t>
      </w:r>
      <w:r w:rsidR="00A56FD9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</w:t>
      </w:r>
      <w:r w:rsidR="00D766D6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планируется, что </w:t>
      </w:r>
      <w:r w:rsidR="00A56FD9" w:rsidRPr="00DD252F">
        <w:rPr>
          <w:rFonts w:eastAsiaTheme="minorEastAsia"/>
          <w:snapToGrid w:val="0"/>
          <w:sz w:val="28"/>
          <w:szCs w:val="28"/>
          <w:lang w:eastAsia="en-US"/>
        </w:rPr>
        <w:t>будут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расположены на земельных участках, в отношении которых осуществлен государственный кадастровый учет, что состав</w:t>
      </w:r>
      <w:r w:rsidR="00A56FD9" w:rsidRPr="00DD252F">
        <w:rPr>
          <w:rFonts w:eastAsiaTheme="minorEastAsia"/>
          <w:snapToGrid w:val="0"/>
          <w:sz w:val="28"/>
          <w:szCs w:val="28"/>
          <w:lang w:eastAsia="en-US"/>
        </w:rPr>
        <w:t>ит 100,00</w:t>
      </w:r>
      <w:r w:rsidRPr="00DD252F">
        <w:rPr>
          <w:rFonts w:eastAsiaTheme="minorEastAsia"/>
          <w:snapToGrid w:val="0"/>
          <w:sz w:val="28"/>
          <w:szCs w:val="28"/>
          <w:lang w:eastAsia="en-US"/>
        </w:rPr>
        <w:t>%.</w:t>
      </w:r>
      <w:r w:rsidR="001248B4" w:rsidRPr="00DD252F">
        <w:rPr>
          <w:rFonts w:eastAsiaTheme="minorEastAsia"/>
          <w:snapToGrid w:val="0"/>
          <w:sz w:val="28"/>
          <w:szCs w:val="28"/>
          <w:lang w:eastAsia="en-US"/>
        </w:rPr>
        <w:t xml:space="preserve"> В прогнозном периоде 2025-2027 гг. показатель сохранится на прежнем уровне.</w:t>
      </w:r>
    </w:p>
    <w:p w:rsidR="001654BC" w:rsidRPr="00DD252F" w:rsidRDefault="001654BC" w:rsidP="001654BC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>В прогнозном периоде планируется обеспечение семей, нуждающихся в жилых помещениях, посредством участия в государственных программах, предусматривающих мероприятия по строительству либо приобретению жилья для различных категорий граждан.</w:t>
      </w:r>
    </w:p>
    <w:bookmarkEnd w:id="4"/>
    <w:p w:rsidR="00F508DA" w:rsidRPr="00DD252F" w:rsidRDefault="001654BC" w:rsidP="001654BC">
      <w:pPr>
        <w:ind w:firstLine="709"/>
        <w:rPr>
          <w:rFonts w:eastAsiaTheme="minorEastAsia"/>
          <w:snapToGrid w:val="0"/>
          <w:sz w:val="28"/>
          <w:szCs w:val="28"/>
          <w:lang w:eastAsia="en-US"/>
        </w:rPr>
      </w:pPr>
      <w:r w:rsidRPr="00DD252F">
        <w:rPr>
          <w:rFonts w:eastAsiaTheme="minorEastAsia"/>
          <w:snapToGrid w:val="0"/>
          <w:sz w:val="28"/>
          <w:szCs w:val="28"/>
          <w:lang w:eastAsia="en-US"/>
        </w:rPr>
        <w:t>В соответствии с краткосрочным планом проведения капитального ремонта общего имущества многоквартирных домов на период на 2023-2025 годы капитальные ремонты запланированы на 2025 год</w:t>
      </w:r>
    </w:p>
    <w:p w:rsidR="00F508DA" w:rsidRPr="00DD252F" w:rsidRDefault="00F508DA" w:rsidP="00685423">
      <w:pPr>
        <w:ind w:firstLine="709"/>
        <w:jc w:val="left"/>
        <w:rPr>
          <w:b/>
          <w:sz w:val="28"/>
          <w:szCs w:val="28"/>
        </w:rPr>
      </w:pPr>
    </w:p>
    <w:p w:rsidR="00685423" w:rsidRPr="00DD252F" w:rsidRDefault="00466091" w:rsidP="00685423">
      <w:pPr>
        <w:ind w:firstLine="709"/>
        <w:jc w:val="left"/>
        <w:rPr>
          <w:b/>
          <w:sz w:val="28"/>
          <w:szCs w:val="28"/>
        </w:rPr>
      </w:pPr>
      <w:r w:rsidRPr="00DD252F">
        <w:rPr>
          <w:b/>
          <w:sz w:val="28"/>
          <w:szCs w:val="28"/>
        </w:rPr>
        <w:t>Транспорт</w:t>
      </w:r>
      <w:r w:rsidR="009050D1" w:rsidRPr="00DD252F">
        <w:rPr>
          <w:b/>
          <w:sz w:val="28"/>
          <w:szCs w:val="28"/>
        </w:rPr>
        <w:t xml:space="preserve"> </w:t>
      </w:r>
      <w:r w:rsidR="00685423" w:rsidRPr="00DD252F">
        <w:rPr>
          <w:b/>
          <w:sz w:val="28"/>
          <w:szCs w:val="28"/>
        </w:rPr>
        <w:t>и связь</w:t>
      </w:r>
    </w:p>
    <w:p w:rsidR="0021038C" w:rsidRPr="00DD252F" w:rsidRDefault="0021038C" w:rsidP="00685423">
      <w:pPr>
        <w:ind w:firstLine="709"/>
        <w:jc w:val="left"/>
        <w:rPr>
          <w:b/>
          <w:sz w:val="28"/>
          <w:szCs w:val="28"/>
        </w:rPr>
      </w:pPr>
    </w:p>
    <w:p w:rsidR="00490746" w:rsidRPr="00DD252F" w:rsidRDefault="00490746" w:rsidP="00EA008D">
      <w:pPr>
        <w:ind w:firstLine="709"/>
        <w:rPr>
          <w:rFonts w:eastAsia="MS Mincho"/>
          <w:sz w:val="28"/>
          <w:szCs w:val="28"/>
          <w:lang w:eastAsia="ja-JP"/>
        </w:rPr>
      </w:pPr>
      <w:r w:rsidRPr="00DD252F">
        <w:rPr>
          <w:rFonts w:eastAsia="MS Mincho"/>
          <w:sz w:val="28"/>
          <w:szCs w:val="28"/>
          <w:lang w:eastAsia="ja-JP"/>
        </w:rPr>
        <w:t>Протяженность автомобильных дорог общего пользования местного значения по оценке 2024 года составит 250,40 км, в прогнозном периоде показатель сохранится на прежнем уровне.</w:t>
      </w:r>
    </w:p>
    <w:p w:rsidR="00993396" w:rsidRPr="00DD252F" w:rsidRDefault="00690C11" w:rsidP="00993396">
      <w:pPr>
        <w:ind w:firstLine="709"/>
        <w:rPr>
          <w:rFonts w:eastAsia="MS Mincho"/>
          <w:sz w:val="28"/>
          <w:szCs w:val="28"/>
          <w:lang w:eastAsia="ja-JP"/>
        </w:rPr>
      </w:pPr>
      <w:r w:rsidRPr="00DD252F">
        <w:rPr>
          <w:color w:val="000000"/>
          <w:sz w:val="28"/>
          <w:szCs w:val="28"/>
          <w:shd w:val="clear" w:color="auto" w:fill="FFFFF0"/>
        </w:rPr>
        <w:t>Протяженность автомобильных дорог общего пользования местного значения, не отвечающих нормативным требованиям</w:t>
      </w:r>
      <w:r w:rsidR="00205AA4" w:rsidRPr="00DD252F">
        <w:rPr>
          <w:color w:val="000000"/>
          <w:sz w:val="28"/>
          <w:szCs w:val="28"/>
          <w:shd w:val="clear" w:color="auto" w:fill="FFFFF0"/>
        </w:rPr>
        <w:t>,</w:t>
      </w:r>
      <w:r w:rsidR="00993396" w:rsidRPr="00DD252F">
        <w:rPr>
          <w:color w:val="000000"/>
          <w:sz w:val="28"/>
          <w:szCs w:val="28"/>
          <w:shd w:val="clear" w:color="auto" w:fill="FFFFF0"/>
        </w:rPr>
        <w:t xml:space="preserve"> по оценке 2024 года составит 75,94 км, в прогнозном периоде планируется уменьшение общей протяженности дорог, не отвечающих нормативным требованиям: 2025 год – 72,74 км, 2026 год – 69,54 км, 2027 год – 66,34 км.</w:t>
      </w:r>
      <w:r w:rsidR="00993396" w:rsidRPr="00DD252F">
        <w:rPr>
          <w:rFonts w:eastAsia="MS Mincho"/>
          <w:sz w:val="28"/>
          <w:szCs w:val="28"/>
          <w:lang w:eastAsia="ja-JP"/>
        </w:rPr>
        <w:t xml:space="preserve"> В рамках государственных программ «Развитие транспортной системы» и «Содействие развитию местного самоуправления» в 2024 году запланирован ремонт 4,96 км, в 2025 году – 3,20 км</w:t>
      </w:r>
      <w:proofErr w:type="gramStart"/>
      <w:r w:rsidR="00993396" w:rsidRPr="00DD252F">
        <w:rPr>
          <w:rFonts w:eastAsia="MS Mincho"/>
          <w:sz w:val="28"/>
          <w:szCs w:val="28"/>
          <w:lang w:eastAsia="ja-JP"/>
        </w:rPr>
        <w:t xml:space="preserve"> ,</w:t>
      </w:r>
      <w:proofErr w:type="gramEnd"/>
      <w:r w:rsidR="00993396" w:rsidRPr="00DD252F">
        <w:rPr>
          <w:rFonts w:eastAsia="MS Mincho"/>
          <w:sz w:val="28"/>
          <w:szCs w:val="28"/>
          <w:lang w:eastAsia="ja-JP"/>
        </w:rPr>
        <w:t xml:space="preserve"> в 2026 году также запланирован ремонт 3,2 км, в 2027 году ремонт 3,2 км.</w:t>
      </w:r>
    </w:p>
    <w:p w:rsidR="00690C11" w:rsidRPr="00B244B5" w:rsidRDefault="002D1C97" w:rsidP="00B244B5">
      <w:pPr>
        <w:ind w:firstLine="709"/>
        <w:rPr>
          <w:rFonts w:eastAsia="MS Mincho"/>
          <w:sz w:val="28"/>
          <w:szCs w:val="28"/>
          <w:lang w:eastAsia="ja-JP"/>
        </w:rPr>
      </w:pPr>
      <w:r w:rsidRPr="00DD252F">
        <w:rPr>
          <w:rFonts w:eastAsia="MS Mincho"/>
          <w:sz w:val="28"/>
          <w:szCs w:val="28"/>
          <w:lang w:eastAsia="ja-JP"/>
        </w:rPr>
        <w:t>По разделу «Транспортировка и хранение» деятельность на территории района осуществляет Каратузский филиал АО «Краевое АТП».</w:t>
      </w:r>
    </w:p>
    <w:p w:rsidR="00EA008D" w:rsidRPr="00DD252F" w:rsidRDefault="00EA008D" w:rsidP="002D1C97">
      <w:pPr>
        <w:ind w:firstLine="709"/>
        <w:rPr>
          <w:rFonts w:eastAsia="MS Mincho"/>
          <w:sz w:val="28"/>
          <w:szCs w:val="28"/>
          <w:lang w:eastAsia="ja-JP"/>
        </w:rPr>
      </w:pPr>
      <w:r w:rsidRPr="00DD252F">
        <w:rPr>
          <w:rFonts w:eastAsia="MS Mincho"/>
          <w:sz w:val="28"/>
          <w:szCs w:val="28"/>
          <w:lang w:eastAsia="ja-JP"/>
        </w:rPr>
        <w:t xml:space="preserve">Количество автобусных маршрутов </w:t>
      </w:r>
      <w:r w:rsidR="002D1C97" w:rsidRPr="00DD252F">
        <w:rPr>
          <w:rFonts w:eastAsia="MS Mincho"/>
          <w:sz w:val="28"/>
          <w:szCs w:val="28"/>
          <w:lang w:eastAsia="ja-JP"/>
        </w:rPr>
        <w:t>по оценке 2024 года и в прогнозном периоде планируется сохранить на уровне 13 ед</w:t>
      </w:r>
      <w:r w:rsidRPr="00DD252F">
        <w:rPr>
          <w:rFonts w:eastAsia="MS Mincho"/>
          <w:sz w:val="28"/>
          <w:szCs w:val="28"/>
          <w:lang w:eastAsia="ja-JP"/>
        </w:rPr>
        <w:t>.</w:t>
      </w:r>
      <w:r w:rsidR="002D1C97" w:rsidRPr="00DD252F">
        <w:rPr>
          <w:rFonts w:eastAsia="MS Mincho"/>
          <w:sz w:val="28"/>
          <w:szCs w:val="28"/>
          <w:lang w:eastAsia="ja-JP"/>
        </w:rPr>
        <w:t xml:space="preserve">, также и протяженность автобусных маршрутов по оценке 2024 года и в прогнозном периоде </w:t>
      </w:r>
      <w:r w:rsidRPr="00DD252F">
        <w:rPr>
          <w:rFonts w:eastAsia="MS Mincho"/>
          <w:sz w:val="28"/>
          <w:szCs w:val="28"/>
          <w:lang w:eastAsia="ja-JP"/>
        </w:rPr>
        <w:t>состави</w:t>
      </w:r>
      <w:r w:rsidR="002D1C97" w:rsidRPr="00DD252F">
        <w:rPr>
          <w:rFonts w:eastAsia="MS Mincho"/>
          <w:sz w:val="28"/>
          <w:szCs w:val="28"/>
          <w:lang w:eastAsia="ja-JP"/>
        </w:rPr>
        <w:t xml:space="preserve">т </w:t>
      </w:r>
      <w:r w:rsidRPr="00DD252F">
        <w:rPr>
          <w:rFonts w:eastAsia="MS Mincho"/>
          <w:sz w:val="28"/>
          <w:szCs w:val="28"/>
          <w:lang w:eastAsia="ja-JP"/>
        </w:rPr>
        <w:t xml:space="preserve">496,65 км. </w:t>
      </w:r>
      <w:r w:rsidRPr="00DD252F">
        <w:rPr>
          <w:rFonts w:eastAsia="MS Mincho"/>
          <w:sz w:val="28"/>
          <w:szCs w:val="28"/>
          <w:lang w:eastAsia="ja-JP"/>
        </w:rPr>
        <w:tab/>
      </w:r>
    </w:p>
    <w:p w:rsidR="00EA008D" w:rsidRPr="00DD252F" w:rsidRDefault="00EA008D" w:rsidP="00EA008D">
      <w:pPr>
        <w:ind w:firstLine="709"/>
        <w:rPr>
          <w:rFonts w:eastAsia="MS Mincho"/>
          <w:sz w:val="28"/>
          <w:szCs w:val="28"/>
          <w:lang w:eastAsia="ja-JP"/>
        </w:rPr>
      </w:pPr>
      <w:r w:rsidRPr="00DD252F">
        <w:rPr>
          <w:rFonts w:eastAsia="MS Mincho"/>
          <w:sz w:val="28"/>
          <w:szCs w:val="28"/>
          <w:lang w:eastAsia="ja-JP"/>
        </w:rPr>
        <w:t xml:space="preserve">Паромная переправа находится на автомобильных дорогах регионального значения. </w:t>
      </w:r>
      <w:r w:rsidRPr="00DD252F">
        <w:rPr>
          <w:rFonts w:eastAsia="MS Mincho"/>
          <w:sz w:val="28"/>
          <w:szCs w:val="28"/>
          <w:lang w:eastAsia="ja-JP"/>
        </w:rPr>
        <w:tab/>
      </w:r>
    </w:p>
    <w:p w:rsidR="00EA008D" w:rsidRPr="00DD252F" w:rsidRDefault="00EA008D" w:rsidP="00EA008D">
      <w:pPr>
        <w:ind w:firstLine="709"/>
        <w:rPr>
          <w:rFonts w:eastAsia="MS Mincho"/>
          <w:sz w:val="28"/>
          <w:szCs w:val="28"/>
          <w:lang w:eastAsia="ja-JP"/>
        </w:rPr>
      </w:pPr>
      <w:r w:rsidRPr="00DD252F">
        <w:rPr>
          <w:rFonts w:eastAsia="MS Mincho"/>
          <w:sz w:val="28"/>
          <w:szCs w:val="28"/>
          <w:lang w:eastAsia="ja-JP"/>
        </w:rPr>
        <w:t>Услуги сельской и междугородней телефонной связи оказывает Красноярский филиал ПАО Ростелеком. Количество телефонизированных сельских населенных пунктов</w:t>
      </w:r>
      <w:r w:rsidR="002D1C97" w:rsidRPr="00DD252F">
        <w:rPr>
          <w:rFonts w:eastAsia="MS Mincho"/>
          <w:sz w:val="28"/>
          <w:szCs w:val="28"/>
          <w:lang w:eastAsia="ja-JP"/>
        </w:rPr>
        <w:t xml:space="preserve"> по оценке 2024 года и в прогнозном периоде </w:t>
      </w:r>
      <w:r w:rsidRPr="00DD252F">
        <w:rPr>
          <w:rFonts w:eastAsia="MS Mincho"/>
          <w:sz w:val="28"/>
          <w:szCs w:val="28"/>
          <w:lang w:eastAsia="ja-JP"/>
        </w:rPr>
        <w:t>– 28, что состав</w:t>
      </w:r>
      <w:r w:rsidR="002D1C97" w:rsidRPr="00DD252F">
        <w:rPr>
          <w:rFonts w:eastAsia="MS Mincho"/>
          <w:sz w:val="28"/>
          <w:szCs w:val="28"/>
          <w:lang w:eastAsia="ja-JP"/>
        </w:rPr>
        <w:t>ит</w:t>
      </w:r>
      <w:r w:rsidRPr="00DD252F">
        <w:rPr>
          <w:rFonts w:eastAsia="MS Mincho"/>
          <w:sz w:val="28"/>
          <w:szCs w:val="28"/>
          <w:lang w:eastAsia="ja-JP"/>
        </w:rPr>
        <w:t xml:space="preserve"> 100%.</w:t>
      </w:r>
      <w:r w:rsidRPr="00DD252F">
        <w:rPr>
          <w:rFonts w:eastAsia="MS Mincho"/>
          <w:sz w:val="28"/>
          <w:szCs w:val="28"/>
          <w:lang w:eastAsia="ja-JP"/>
        </w:rPr>
        <w:tab/>
      </w:r>
    </w:p>
    <w:p w:rsidR="004827B3" w:rsidRPr="00DD252F" w:rsidRDefault="0020033A" w:rsidP="00EA008D">
      <w:pPr>
        <w:ind w:firstLine="709"/>
        <w:rPr>
          <w:rFonts w:eastAsia="MS Mincho"/>
          <w:sz w:val="28"/>
          <w:szCs w:val="28"/>
          <w:lang w:eastAsia="ja-JP"/>
        </w:rPr>
      </w:pPr>
      <w:r w:rsidRPr="00DD252F">
        <w:rPr>
          <w:rFonts w:eastAsia="MS Mincho"/>
          <w:sz w:val="28"/>
          <w:szCs w:val="28"/>
          <w:lang w:eastAsia="ja-JP"/>
        </w:rPr>
        <w:t>По оценке 2024 года и в прогнозном периоде планируется, что</w:t>
      </w:r>
      <w:r w:rsidR="00EA008D" w:rsidRPr="00DD252F">
        <w:rPr>
          <w:rFonts w:eastAsia="MS Mincho"/>
          <w:sz w:val="28"/>
          <w:szCs w:val="28"/>
          <w:lang w:eastAsia="ja-JP"/>
        </w:rPr>
        <w:t xml:space="preserve"> на территории</w:t>
      </w:r>
      <w:r w:rsidRPr="00DD252F">
        <w:rPr>
          <w:rFonts w:eastAsia="MS Mincho"/>
          <w:sz w:val="28"/>
          <w:szCs w:val="28"/>
          <w:lang w:eastAsia="ja-JP"/>
        </w:rPr>
        <w:t xml:space="preserve"> района будут работать</w:t>
      </w:r>
      <w:r w:rsidR="00EA008D" w:rsidRPr="00DD252F">
        <w:rPr>
          <w:rFonts w:eastAsia="MS Mincho"/>
          <w:sz w:val="28"/>
          <w:szCs w:val="28"/>
          <w:lang w:eastAsia="ja-JP"/>
        </w:rPr>
        <w:t xml:space="preserve"> 4 оператора сотовой связи</w:t>
      </w:r>
      <w:r w:rsidRPr="00DD252F">
        <w:rPr>
          <w:rFonts w:eastAsia="MS Mincho"/>
          <w:sz w:val="28"/>
          <w:szCs w:val="28"/>
          <w:lang w:eastAsia="ja-JP"/>
        </w:rPr>
        <w:t xml:space="preserve"> и</w:t>
      </w:r>
      <w:r w:rsidR="00EA008D" w:rsidRPr="00DD252F">
        <w:rPr>
          <w:rFonts w:eastAsia="MS Mincho"/>
          <w:sz w:val="28"/>
          <w:szCs w:val="28"/>
          <w:lang w:eastAsia="ja-JP"/>
        </w:rPr>
        <w:t xml:space="preserve"> </w:t>
      </w:r>
      <w:r w:rsidRPr="00DD252F">
        <w:rPr>
          <w:rFonts w:eastAsia="MS Mincho"/>
          <w:sz w:val="28"/>
          <w:szCs w:val="28"/>
          <w:lang w:eastAsia="ja-JP"/>
        </w:rPr>
        <w:t xml:space="preserve">будет </w:t>
      </w:r>
      <w:r w:rsidRPr="00DD252F">
        <w:rPr>
          <w:rFonts w:eastAsia="MS Mincho"/>
          <w:sz w:val="28"/>
          <w:szCs w:val="28"/>
          <w:lang w:eastAsia="ja-JP"/>
        </w:rPr>
        <w:lastRenderedPageBreak/>
        <w:t xml:space="preserve">снижена </w:t>
      </w:r>
      <w:r w:rsidR="00EA008D" w:rsidRPr="00DD252F">
        <w:rPr>
          <w:rFonts w:eastAsia="MS Mincho"/>
          <w:sz w:val="28"/>
          <w:szCs w:val="28"/>
          <w:lang w:eastAsia="ja-JP"/>
        </w:rPr>
        <w:t xml:space="preserve">напряженность телефонной связи </w:t>
      </w:r>
      <w:r w:rsidRPr="00DD252F">
        <w:rPr>
          <w:rFonts w:eastAsia="MS Mincho"/>
          <w:sz w:val="28"/>
          <w:szCs w:val="28"/>
          <w:lang w:eastAsia="ja-JP"/>
        </w:rPr>
        <w:t xml:space="preserve">в </w:t>
      </w:r>
      <w:r w:rsidR="00EA008D" w:rsidRPr="00DD252F">
        <w:rPr>
          <w:rFonts w:eastAsia="MS Mincho"/>
          <w:sz w:val="28"/>
          <w:szCs w:val="28"/>
          <w:lang w:eastAsia="ja-JP"/>
        </w:rPr>
        <w:t>отдаленны</w:t>
      </w:r>
      <w:r w:rsidRPr="00DD252F">
        <w:rPr>
          <w:rFonts w:eastAsia="MS Mincho"/>
          <w:sz w:val="28"/>
          <w:szCs w:val="28"/>
          <w:lang w:eastAsia="ja-JP"/>
        </w:rPr>
        <w:t>х</w:t>
      </w:r>
      <w:r w:rsidR="00EA008D" w:rsidRPr="00DD252F">
        <w:rPr>
          <w:rFonts w:eastAsia="MS Mincho"/>
          <w:sz w:val="28"/>
          <w:szCs w:val="28"/>
          <w:lang w:eastAsia="ja-JP"/>
        </w:rPr>
        <w:t xml:space="preserve"> населенны</w:t>
      </w:r>
      <w:r w:rsidRPr="00DD252F">
        <w:rPr>
          <w:rFonts w:eastAsia="MS Mincho"/>
          <w:sz w:val="28"/>
          <w:szCs w:val="28"/>
          <w:lang w:eastAsia="ja-JP"/>
        </w:rPr>
        <w:t>х</w:t>
      </w:r>
      <w:r w:rsidR="00EA008D" w:rsidRPr="00DD252F">
        <w:rPr>
          <w:rFonts w:eastAsia="MS Mincho"/>
          <w:sz w:val="28"/>
          <w:szCs w:val="28"/>
          <w:lang w:eastAsia="ja-JP"/>
        </w:rPr>
        <w:t xml:space="preserve"> пункт</w:t>
      </w:r>
      <w:r w:rsidRPr="00DD252F">
        <w:rPr>
          <w:rFonts w:eastAsia="MS Mincho"/>
          <w:sz w:val="28"/>
          <w:szCs w:val="28"/>
          <w:lang w:eastAsia="ja-JP"/>
        </w:rPr>
        <w:t>ах</w:t>
      </w:r>
      <w:r w:rsidR="00EA008D" w:rsidRPr="00DD252F">
        <w:rPr>
          <w:rFonts w:eastAsia="MS Mincho"/>
          <w:sz w:val="28"/>
          <w:szCs w:val="28"/>
          <w:lang w:eastAsia="ja-JP"/>
        </w:rPr>
        <w:t>.</w:t>
      </w:r>
    </w:p>
    <w:p w:rsidR="00ED7DA0" w:rsidRPr="00DD252F" w:rsidRDefault="00ED7DA0" w:rsidP="004827B3">
      <w:pPr>
        <w:autoSpaceDE w:val="0"/>
        <w:autoSpaceDN w:val="0"/>
        <w:adjustRightInd w:val="0"/>
        <w:ind w:firstLine="709"/>
        <w:rPr>
          <w:rFonts w:ascii="Calibri" w:eastAsiaTheme="minorEastAsia" w:hAnsi="Calibri" w:cs="Calibri"/>
          <w:sz w:val="22"/>
          <w:szCs w:val="22"/>
        </w:rPr>
      </w:pPr>
    </w:p>
    <w:p w:rsidR="00BC283A" w:rsidRPr="00DD252F" w:rsidRDefault="00643E65" w:rsidP="0073133C">
      <w:pPr>
        <w:pStyle w:val="2"/>
        <w:spacing w:before="0" w:after="0"/>
        <w:ind w:firstLine="709"/>
        <w:jc w:val="left"/>
        <w:rPr>
          <w:rFonts w:ascii="Times New Roman" w:hAnsi="Times New Roman" w:cs="Times New Roman"/>
          <w:i w:val="0"/>
        </w:rPr>
      </w:pPr>
      <w:r w:rsidRPr="00DD252F">
        <w:rPr>
          <w:rFonts w:ascii="Times New Roman" w:hAnsi="Times New Roman" w:cs="Times New Roman"/>
          <w:i w:val="0"/>
        </w:rPr>
        <w:t>Платные услуги населению</w:t>
      </w:r>
    </w:p>
    <w:p w:rsidR="001A2A6A" w:rsidRPr="00DD252F" w:rsidRDefault="001A2A6A" w:rsidP="001A2A6A"/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Состояние торговли определяется платёжеспособным спросом, структурой потребительских предпочтений, ожиданиями населения и имеют прямую зависимость от экономической ситуации в стране и регионе.</w:t>
      </w:r>
    </w:p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Потребительский рынок является одним из важных секторов жизнеобеспечения, а также источником занятости населения и пополнения бюджета района.</w:t>
      </w:r>
    </w:p>
    <w:p w:rsidR="00643E65" w:rsidRPr="00DD252F" w:rsidRDefault="006F2DEB" w:rsidP="00643E6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По оценке 2024 года и в прогнозном периоде 2025-2027 гг.</w:t>
      </w:r>
      <w:r w:rsidR="00643E65" w:rsidRPr="00DD252F">
        <w:rPr>
          <w:rFonts w:eastAsiaTheme="minorEastAsia"/>
          <w:sz w:val="28"/>
          <w:szCs w:val="28"/>
        </w:rPr>
        <w:t xml:space="preserve"> вырастет потре</w:t>
      </w:r>
      <w:r w:rsidRPr="00DD252F">
        <w:rPr>
          <w:rFonts w:eastAsiaTheme="minorEastAsia"/>
          <w:sz w:val="28"/>
          <w:szCs w:val="28"/>
        </w:rPr>
        <w:t>бительская активность населения</w:t>
      </w:r>
      <w:r w:rsidR="00643E65" w:rsidRPr="00DD252F">
        <w:rPr>
          <w:rFonts w:eastAsiaTheme="minorEastAsia"/>
          <w:sz w:val="28"/>
          <w:szCs w:val="28"/>
        </w:rPr>
        <w:t xml:space="preserve"> за счет роста реальных </w:t>
      </w:r>
      <w:r w:rsidR="00643E65" w:rsidRPr="00DD252F">
        <w:rPr>
          <w:rFonts w:eastAsiaTheme="minorEastAsia"/>
          <w:bCs/>
          <w:sz w:val="28"/>
          <w:szCs w:val="28"/>
        </w:rPr>
        <w:t>располагаемых доходов населения и реальной заработной платы.</w:t>
      </w:r>
    </w:p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  <w:r w:rsidRPr="00DD252F">
        <w:rPr>
          <w:rFonts w:eastAsiaTheme="minorEastAsia"/>
          <w:bCs/>
          <w:sz w:val="28"/>
          <w:szCs w:val="28"/>
        </w:rPr>
        <w:t xml:space="preserve">Количество объектов бытового обслуживания населения, оказывающих услуги </w:t>
      </w:r>
      <w:r w:rsidR="00DD42A2" w:rsidRPr="00DD252F">
        <w:rPr>
          <w:rFonts w:eastAsiaTheme="minorEastAsia"/>
          <w:bCs/>
          <w:sz w:val="28"/>
          <w:szCs w:val="28"/>
        </w:rPr>
        <w:t>по оценке 2024</w:t>
      </w:r>
      <w:r w:rsidRPr="00DD252F">
        <w:rPr>
          <w:rFonts w:eastAsiaTheme="minorEastAsia"/>
          <w:bCs/>
          <w:sz w:val="28"/>
          <w:szCs w:val="28"/>
        </w:rPr>
        <w:t xml:space="preserve"> год</w:t>
      </w:r>
      <w:r w:rsidR="00DD42A2" w:rsidRPr="00DD252F">
        <w:rPr>
          <w:rFonts w:eastAsiaTheme="minorEastAsia"/>
          <w:bCs/>
          <w:sz w:val="28"/>
          <w:szCs w:val="28"/>
        </w:rPr>
        <w:t>а и в прогнозном периоде</w:t>
      </w:r>
      <w:r w:rsidRPr="00DD252F">
        <w:rPr>
          <w:rFonts w:eastAsiaTheme="minorEastAsia"/>
          <w:bCs/>
          <w:sz w:val="28"/>
          <w:szCs w:val="28"/>
        </w:rPr>
        <w:t xml:space="preserve"> состави</w:t>
      </w:r>
      <w:r w:rsidR="00DD42A2" w:rsidRPr="00DD252F">
        <w:rPr>
          <w:rFonts w:eastAsiaTheme="minorEastAsia"/>
          <w:bCs/>
          <w:sz w:val="28"/>
          <w:szCs w:val="28"/>
        </w:rPr>
        <w:t>т</w:t>
      </w:r>
      <w:r w:rsidRPr="00DD252F">
        <w:rPr>
          <w:rFonts w:eastAsiaTheme="minorEastAsia"/>
          <w:bCs/>
          <w:sz w:val="28"/>
          <w:szCs w:val="28"/>
        </w:rPr>
        <w:t xml:space="preserve"> </w:t>
      </w:r>
      <w:r w:rsidR="00DD42A2" w:rsidRPr="00DD252F">
        <w:rPr>
          <w:rFonts w:eastAsiaTheme="minorEastAsia"/>
          <w:bCs/>
          <w:sz w:val="28"/>
          <w:szCs w:val="28"/>
        </w:rPr>
        <w:t xml:space="preserve">– </w:t>
      </w:r>
      <w:r w:rsidRPr="00DD252F">
        <w:rPr>
          <w:rFonts w:eastAsiaTheme="minorEastAsia"/>
          <w:bCs/>
          <w:sz w:val="28"/>
          <w:szCs w:val="28"/>
        </w:rPr>
        <w:t>42</w:t>
      </w:r>
      <w:r w:rsidR="00DD42A2" w:rsidRPr="00DD252F">
        <w:rPr>
          <w:rFonts w:eastAsiaTheme="minorEastAsia"/>
          <w:bCs/>
          <w:sz w:val="28"/>
          <w:szCs w:val="28"/>
        </w:rPr>
        <w:t xml:space="preserve"> ед.</w:t>
      </w:r>
    </w:p>
    <w:p w:rsidR="00643E65" w:rsidRPr="00DD252F" w:rsidRDefault="00643E65" w:rsidP="002C7B02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  <w:proofErr w:type="gramStart"/>
      <w:r w:rsidRPr="00DD252F">
        <w:rPr>
          <w:rFonts w:eastAsiaTheme="minorEastAsia"/>
          <w:bCs/>
          <w:sz w:val="28"/>
          <w:szCs w:val="28"/>
        </w:rPr>
        <w:t>Наибольшее количество объектов бытового обслуживания населения, приходится на хозяйствующие субъекты малого предпринимательства, оказывающих  услуги по ремонту и строительству жилья и других построек – 9</w:t>
      </w:r>
      <w:r w:rsidR="002C7B02" w:rsidRPr="00DD252F">
        <w:rPr>
          <w:rFonts w:eastAsiaTheme="minorEastAsia"/>
          <w:bCs/>
          <w:sz w:val="28"/>
          <w:szCs w:val="28"/>
        </w:rPr>
        <w:t xml:space="preserve"> ед.</w:t>
      </w:r>
      <w:r w:rsidRPr="00DD252F">
        <w:rPr>
          <w:rFonts w:eastAsiaTheme="minorEastAsia"/>
          <w:bCs/>
          <w:sz w:val="28"/>
          <w:szCs w:val="28"/>
        </w:rPr>
        <w:t xml:space="preserve">, оказывающих услуги по техническому обслуживанию и ремонту транспортных средств, машин и оборудования – 8 </w:t>
      </w:r>
      <w:r w:rsidR="002C7B02" w:rsidRPr="00DD252F">
        <w:rPr>
          <w:rFonts w:eastAsiaTheme="minorEastAsia"/>
          <w:bCs/>
          <w:sz w:val="28"/>
          <w:szCs w:val="28"/>
        </w:rPr>
        <w:t>ед.</w:t>
      </w:r>
      <w:r w:rsidRPr="00DD252F">
        <w:rPr>
          <w:rFonts w:eastAsiaTheme="minorEastAsia"/>
          <w:bCs/>
          <w:sz w:val="28"/>
          <w:szCs w:val="28"/>
        </w:rPr>
        <w:t>, оказывающих услуги по ремонту и пошиву швейных, меховых и кожаных изделий, головных уборов и изделий текстильной галантереи, ремонту, пошиву и вязанию трикотажных</w:t>
      </w:r>
      <w:proofErr w:type="gramEnd"/>
      <w:r w:rsidRPr="00DD252F">
        <w:rPr>
          <w:rFonts w:eastAsiaTheme="minorEastAsia"/>
          <w:bCs/>
          <w:sz w:val="28"/>
          <w:szCs w:val="28"/>
        </w:rPr>
        <w:t xml:space="preserve"> </w:t>
      </w:r>
      <w:proofErr w:type="gramStart"/>
      <w:r w:rsidRPr="00DD252F">
        <w:rPr>
          <w:rFonts w:eastAsiaTheme="minorEastAsia"/>
          <w:bCs/>
          <w:sz w:val="28"/>
          <w:szCs w:val="28"/>
        </w:rPr>
        <w:t>изделий – 6</w:t>
      </w:r>
      <w:r w:rsidR="002C7B02" w:rsidRPr="00DD252F">
        <w:rPr>
          <w:rFonts w:eastAsiaTheme="minorEastAsia"/>
          <w:bCs/>
          <w:sz w:val="28"/>
          <w:szCs w:val="28"/>
        </w:rPr>
        <w:t xml:space="preserve"> ед.</w:t>
      </w:r>
      <w:r w:rsidRPr="00DD252F">
        <w:rPr>
          <w:rFonts w:eastAsiaTheme="minorEastAsia"/>
          <w:bCs/>
          <w:sz w:val="28"/>
          <w:szCs w:val="28"/>
        </w:rPr>
        <w:t>, парикмахерские услуги – 6</w:t>
      </w:r>
      <w:r w:rsidR="002C7B02" w:rsidRPr="00DD252F">
        <w:rPr>
          <w:rFonts w:eastAsiaTheme="minorEastAsia"/>
          <w:bCs/>
          <w:sz w:val="28"/>
          <w:szCs w:val="28"/>
        </w:rPr>
        <w:t xml:space="preserve"> ед.</w:t>
      </w:r>
      <w:r w:rsidRPr="00DD252F">
        <w:rPr>
          <w:rFonts w:eastAsiaTheme="minorEastAsia"/>
          <w:bCs/>
          <w:sz w:val="28"/>
          <w:szCs w:val="28"/>
        </w:rPr>
        <w:t xml:space="preserve">, оказывающих услуги по изготовлению и ремонту мебели </w:t>
      </w:r>
      <w:r w:rsidR="002C7B02" w:rsidRPr="00DD252F">
        <w:rPr>
          <w:rFonts w:eastAsiaTheme="minorEastAsia"/>
          <w:bCs/>
          <w:sz w:val="28"/>
          <w:szCs w:val="28"/>
        </w:rPr>
        <w:t>–</w:t>
      </w:r>
      <w:r w:rsidRPr="00DD252F">
        <w:rPr>
          <w:rFonts w:eastAsiaTheme="minorEastAsia"/>
          <w:bCs/>
          <w:sz w:val="28"/>
          <w:szCs w:val="28"/>
        </w:rPr>
        <w:t xml:space="preserve"> 4</w:t>
      </w:r>
      <w:r w:rsidR="002C7B02" w:rsidRPr="00DD252F">
        <w:rPr>
          <w:rFonts w:eastAsiaTheme="minorEastAsia"/>
          <w:bCs/>
          <w:sz w:val="28"/>
          <w:szCs w:val="28"/>
        </w:rPr>
        <w:t xml:space="preserve"> ед</w:t>
      </w:r>
      <w:r w:rsidRPr="00DD252F">
        <w:rPr>
          <w:rFonts w:eastAsiaTheme="minorEastAsia"/>
          <w:bCs/>
          <w:sz w:val="28"/>
          <w:szCs w:val="28"/>
        </w:rPr>
        <w:t>. Количество объектов бытового обслуживания населения, оказывающих услуги по ремонту, окраске и пошиву обуви – 2</w:t>
      </w:r>
      <w:r w:rsidR="002C7B02" w:rsidRPr="00DD252F">
        <w:rPr>
          <w:rFonts w:eastAsiaTheme="minorEastAsia"/>
          <w:bCs/>
          <w:sz w:val="28"/>
          <w:szCs w:val="28"/>
        </w:rPr>
        <w:t xml:space="preserve"> ед., по ремонту и техническому обслуживанию бытовой радиоэлектронной аппаратуры, бытовых машин и приборов и изготовлению металлоизделий – 2 ед., фотоателье – 1 ед., ритуальные – 2 ед., прочие виды бытовых услуг – 2 ед</w:t>
      </w:r>
      <w:proofErr w:type="gramEnd"/>
      <w:r w:rsidRPr="00DD252F">
        <w:rPr>
          <w:rFonts w:eastAsiaTheme="minorEastAsia"/>
          <w:bCs/>
          <w:sz w:val="28"/>
          <w:szCs w:val="28"/>
        </w:rPr>
        <w:t>. Предприятия, оказывающие гостиничные  услуги на территории района отсутствуют.</w:t>
      </w:r>
    </w:p>
    <w:p w:rsidR="00643E65" w:rsidRPr="00DD252F" w:rsidRDefault="00627423" w:rsidP="00643E6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  <w:r w:rsidRPr="00DD252F">
        <w:rPr>
          <w:rFonts w:eastAsiaTheme="minorEastAsia"/>
          <w:bCs/>
          <w:sz w:val="28"/>
          <w:szCs w:val="28"/>
        </w:rPr>
        <w:t>По оценке 2024</w:t>
      </w:r>
      <w:r w:rsidR="00643E65" w:rsidRPr="00DD252F">
        <w:rPr>
          <w:rFonts w:eastAsiaTheme="minorEastAsia"/>
          <w:bCs/>
          <w:sz w:val="28"/>
          <w:szCs w:val="28"/>
        </w:rPr>
        <w:t xml:space="preserve"> год</w:t>
      </w:r>
      <w:r w:rsidRPr="00DD252F">
        <w:rPr>
          <w:rFonts w:eastAsiaTheme="minorEastAsia"/>
          <w:bCs/>
          <w:sz w:val="28"/>
          <w:szCs w:val="28"/>
        </w:rPr>
        <w:t>а</w:t>
      </w:r>
      <w:r w:rsidR="00643E65" w:rsidRPr="00DD252F">
        <w:rPr>
          <w:rFonts w:eastAsiaTheme="minorEastAsia"/>
          <w:bCs/>
          <w:sz w:val="28"/>
          <w:szCs w:val="28"/>
        </w:rPr>
        <w:t xml:space="preserve"> населению Каратузского района</w:t>
      </w:r>
      <w:r w:rsidRPr="00DD252F">
        <w:rPr>
          <w:rFonts w:eastAsiaTheme="minorEastAsia"/>
          <w:bCs/>
          <w:sz w:val="28"/>
          <w:szCs w:val="28"/>
        </w:rPr>
        <w:t xml:space="preserve"> будет</w:t>
      </w:r>
      <w:r w:rsidR="00643E65" w:rsidRPr="00DD252F">
        <w:rPr>
          <w:rFonts w:eastAsiaTheme="minorEastAsia"/>
          <w:bCs/>
          <w:sz w:val="28"/>
          <w:szCs w:val="28"/>
        </w:rPr>
        <w:t xml:space="preserve"> оказано всех в</w:t>
      </w:r>
      <w:r w:rsidRPr="00DD252F">
        <w:rPr>
          <w:rFonts w:eastAsiaTheme="minorEastAsia"/>
          <w:bCs/>
          <w:sz w:val="28"/>
          <w:szCs w:val="28"/>
        </w:rPr>
        <w:t>идов платных услуг на сумму 174170,82</w:t>
      </w:r>
      <w:r w:rsidR="00643E65" w:rsidRPr="00DD252F">
        <w:rPr>
          <w:rFonts w:eastAsiaTheme="minorEastAsia"/>
          <w:bCs/>
          <w:sz w:val="28"/>
          <w:szCs w:val="28"/>
        </w:rPr>
        <w:t xml:space="preserve"> тыс. рублей</w:t>
      </w:r>
      <w:r w:rsidR="00BA4360" w:rsidRPr="00DD252F">
        <w:rPr>
          <w:rFonts w:eastAsiaTheme="minorEastAsia"/>
          <w:bCs/>
          <w:sz w:val="28"/>
          <w:szCs w:val="28"/>
        </w:rPr>
        <w:t>, а в прогнозном периоде: 2025 год – 189415,13 тыс. рублей, 2026 год – 200138,86 тыс. рублей, 2027 год – 212298,50 тыс. рублей и темп роста к оценке 2024 года составит 121,89%.</w:t>
      </w:r>
    </w:p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559"/>
        <w:gridCol w:w="1701"/>
        <w:gridCol w:w="1701"/>
        <w:gridCol w:w="1560"/>
      </w:tblGrid>
      <w:tr w:rsidR="00BF0927" w:rsidRPr="00DD252F" w:rsidTr="000B2C4E">
        <w:trPr>
          <w:trHeight w:val="276"/>
        </w:trPr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Наименование показателей</w:t>
            </w:r>
          </w:p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Ед.</w:t>
            </w:r>
          </w:p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изм.</w:t>
            </w:r>
          </w:p>
          <w:p w:rsidR="00BF0927" w:rsidRPr="00DD252F" w:rsidRDefault="00BF0927" w:rsidP="00643E65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65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0927" w:rsidRPr="00DD252F" w:rsidRDefault="000B2C4E" w:rsidP="000B2C4E">
            <w:pPr>
              <w:spacing w:after="200" w:line="276" w:lineRule="auto"/>
              <w:jc w:val="center"/>
            </w:pPr>
            <w:r w:rsidRPr="00DD252F">
              <w:t>Годы</w:t>
            </w:r>
          </w:p>
        </w:tc>
      </w:tr>
      <w:tr w:rsidR="00BF0927" w:rsidRPr="00DD252F" w:rsidTr="000B2C4E">
        <w:trPr>
          <w:trHeight w:val="620"/>
        </w:trPr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7" w:rsidRPr="00DD252F" w:rsidRDefault="00BF0927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2024</w:t>
            </w:r>
          </w:p>
          <w:p w:rsidR="00BF0927" w:rsidRPr="00DD252F" w:rsidRDefault="00BF0927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7" w:rsidRPr="00DD252F" w:rsidRDefault="00BF0927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2025</w:t>
            </w:r>
          </w:p>
          <w:p w:rsidR="00BF0927" w:rsidRPr="00DD252F" w:rsidRDefault="00BF0927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прогноз</w:t>
            </w:r>
          </w:p>
          <w:p w:rsidR="00BF0927" w:rsidRPr="00DD252F" w:rsidRDefault="00BF0927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 вариант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0927" w:rsidRPr="00DD252F" w:rsidRDefault="00BF0927" w:rsidP="000B2C4E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2026</w:t>
            </w:r>
          </w:p>
          <w:p w:rsidR="00FF625D" w:rsidRPr="00DD252F" w:rsidRDefault="00FF625D" w:rsidP="000B2C4E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прогноз</w:t>
            </w:r>
          </w:p>
          <w:p w:rsidR="00BF0927" w:rsidRPr="00DD252F" w:rsidRDefault="00BF0927" w:rsidP="000B2C4E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 вариант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927" w:rsidRPr="00DD252F" w:rsidRDefault="00BF0927" w:rsidP="000B2C4E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2027</w:t>
            </w:r>
          </w:p>
          <w:p w:rsidR="00FF625D" w:rsidRPr="00DD252F" w:rsidRDefault="00FF625D" w:rsidP="000B2C4E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прогноз</w:t>
            </w:r>
          </w:p>
          <w:p w:rsidR="00BF0927" w:rsidRPr="00DD252F" w:rsidRDefault="00BF0927" w:rsidP="000B2C4E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 вариант</w:t>
            </w:r>
          </w:p>
        </w:tc>
      </w:tr>
      <w:tr w:rsidR="00BF0927" w:rsidRPr="00DD252F" w:rsidTr="000B2C4E">
        <w:trPr>
          <w:trHeight w:val="41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Оборот реализации платных услуг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174170,82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189415,13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200138,86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212298,50</w:t>
            </w:r>
          </w:p>
        </w:tc>
      </w:tr>
      <w:tr w:rsidR="00BF0927" w:rsidRPr="00DD252F" w:rsidTr="000B2C4E">
        <w:trPr>
          <w:trHeight w:val="41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lastRenderedPageBreak/>
              <w:t>Темп  роста в сопоставимых 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101,71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927" w:rsidRPr="00DD252F" w:rsidRDefault="00BF0927" w:rsidP="00643E65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101,80</w:t>
            </w:r>
          </w:p>
        </w:tc>
      </w:tr>
    </w:tbl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</w:p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  <w:r w:rsidRPr="00DD252F">
        <w:rPr>
          <w:rFonts w:eastAsiaTheme="minorEastAsia"/>
          <w:bCs/>
          <w:sz w:val="28"/>
          <w:szCs w:val="28"/>
        </w:rPr>
        <w:t>В среднесрочной перспективе на динамику объема оказания платных услуг населению, также как и на торговлю, наибольшее влияние будут оказывать сдержанный рост денежных доходов населения.</w:t>
      </w:r>
    </w:p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eastAsiaTheme="minorEastAsia"/>
          <w:b/>
          <w:bCs/>
          <w:sz w:val="28"/>
          <w:szCs w:val="28"/>
        </w:rPr>
      </w:pPr>
      <w:r w:rsidRPr="00DD252F">
        <w:rPr>
          <w:rFonts w:eastAsiaTheme="minorEastAsia"/>
          <w:b/>
          <w:bCs/>
          <w:sz w:val="28"/>
          <w:szCs w:val="28"/>
        </w:rPr>
        <w:t>Объем предоставления муниципальных услуг</w:t>
      </w:r>
    </w:p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  <w:r w:rsidRPr="00DD252F">
        <w:rPr>
          <w:rFonts w:eastAsiaTheme="minorEastAsia"/>
          <w:bCs/>
          <w:sz w:val="28"/>
          <w:szCs w:val="28"/>
        </w:rPr>
        <w:t>В прогнозный период 2025-2027 гг. будет проводиться политика, направленная на повышение муниципального управления и оказания муниципальных услуг.</w:t>
      </w:r>
    </w:p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  <w:r w:rsidRPr="00DD252F">
        <w:rPr>
          <w:rFonts w:eastAsiaTheme="minorEastAsia"/>
          <w:bCs/>
          <w:sz w:val="28"/>
          <w:szCs w:val="28"/>
        </w:rPr>
        <w:t>В рамках данного направления будут реализованы муниципальные программы, направленные на совершенствование системы управления муниципальными финансами, повышение эффективности использования муниципального имущества.</w:t>
      </w:r>
    </w:p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  <w:r w:rsidRPr="00DD252F">
        <w:rPr>
          <w:rFonts w:eastAsiaTheme="minorEastAsia"/>
          <w:bCs/>
          <w:sz w:val="28"/>
          <w:szCs w:val="28"/>
        </w:rPr>
        <w:t xml:space="preserve">Эффективное управление муниципальными финансами и совершенствование межбюджетных отношений будет осуществляться путём </w:t>
      </w:r>
    </w:p>
    <w:p w:rsidR="00643E65" w:rsidRPr="00DD252F" w:rsidRDefault="00643E65" w:rsidP="00643E65">
      <w:pPr>
        <w:autoSpaceDE w:val="0"/>
        <w:autoSpaceDN w:val="0"/>
        <w:adjustRightInd w:val="0"/>
        <w:rPr>
          <w:rFonts w:eastAsiaTheme="minorEastAsia"/>
          <w:bCs/>
          <w:sz w:val="28"/>
          <w:szCs w:val="28"/>
        </w:rPr>
      </w:pPr>
      <w:r w:rsidRPr="00DD252F">
        <w:rPr>
          <w:rFonts w:eastAsiaTheme="minorEastAsia"/>
          <w:bCs/>
          <w:sz w:val="28"/>
          <w:szCs w:val="28"/>
        </w:rPr>
        <w:t>продолжения внедрения инструментов программно-целевого планирования, а также повышения прозрачности муниципальных финансов, обеспечения сбалансированности доходов и расходов бюджетов поселений  района, организация бюджетного процесса «Электронный бюджет»,  повышения открытости для населения, через использование информационных ресурсов (официальный сайт администрации района, средства массовой информации, местное телевидение).</w:t>
      </w:r>
    </w:p>
    <w:p w:rsidR="00643E65" w:rsidRPr="00DD252F" w:rsidRDefault="00643E65" w:rsidP="00643E6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  <w:r w:rsidRPr="00DD252F">
        <w:rPr>
          <w:rFonts w:eastAsiaTheme="minorEastAsia"/>
          <w:bCs/>
          <w:sz w:val="28"/>
          <w:szCs w:val="28"/>
        </w:rPr>
        <w:t>Повышение эффективности использования муниципального имущества будет осуществляться путем совершенствования механизма предоставления муниципального имущества и земельных участков в аренду</w:t>
      </w:r>
      <w:r w:rsidR="00B36A4E" w:rsidRPr="00DD252F">
        <w:rPr>
          <w:rFonts w:eastAsiaTheme="minorEastAsia"/>
          <w:bCs/>
          <w:sz w:val="28"/>
          <w:szCs w:val="28"/>
        </w:rPr>
        <w:t>, а также путем</w:t>
      </w:r>
      <w:r w:rsidRPr="00DD252F">
        <w:rPr>
          <w:rFonts w:eastAsiaTheme="minorEastAsia"/>
          <w:bCs/>
          <w:sz w:val="28"/>
          <w:szCs w:val="28"/>
        </w:rPr>
        <w:t xml:space="preserve"> </w:t>
      </w:r>
      <w:proofErr w:type="gramStart"/>
      <w:r w:rsidRPr="00DD252F">
        <w:rPr>
          <w:rFonts w:eastAsiaTheme="minorEastAsia"/>
          <w:bCs/>
          <w:sz w:val="28"/>
          <w:szCs w:val="28"/>
        </w:rPr>
        <w:t>контрол</w:t>
      </w:r>
      <w:r w:rsidR="00B36A4E" w:rsidRPr="00DD252F">
        <w:rPr>
          <w:rFonts w:eastAsiaTheme="minorEastAsia"/>
          <w:bCs/>
          <w:sz w:val="28"/>
          <w:szCs w:val="28"/>
        </w:rPr>
        <w:t>я</w:t>
      </w:r>
      <w:r w:rsidRPr="00DD252F">
        <w:rPr>
          <w:rFonts w:eastAsiaTheme="minorEastAsia"/>
          <w:bCs/>
          <w:sz w:val="28"/>
          <w:szCs w:val="28"/>
        </w:rPr>
        <w:t xml:space="preserve"> за</w:t>
      </w:r>
      <w:proofErr w:type="gramEnd"/>
      <w:r w:rsidRPr="00DD252F">
        <w:rPr>
          <w:rFonts w:eastAsiaTheme="minorEastAsia"/>
          <w:bCs/>
          <w:sz w:val="28"/>
          <w:szCs w:val="28"/>
        </w:rPr>
        <w:t xml:space="preserve"> эффективностью использования муниципального имущества.</w:t>
      </w:r>
    </w:p>
    <w:p w:rsidR="00643E65" w:rsidRPr="00B244B5" w:rsidRDefault="00643E65" w:rsidP="00B244B5">
      <w:pPr>
        <w:autoSpaceDE w:val="0"/>
        <w:autoSpaceDN w:val="0"/>
        <w:adjustRightInd w:val="0"/>
        <w:ind w:firstLine="720"/>
        <w:rPr>
          <w:rFonts w:eastAsiaTheme="minorEastAsia"/>
          <w:bCs/>
          <w:sz w:val="28"/>
          <w:szCs w:val="28"/>
        </w:rPr>
      </w:pPr>
      <w:r w:rsidRPr="00DD252F">
        <w:rPr>
          <w:rFonts w:eastAsiaTheme="minorEastAsia"/>
          <w:bCs/>
          <w:sz w:val="28"/>
          <w:szCs w:val="28"/>
        </w:rPr>
        <w:t>Обеспечение повышения эффективности муниципального управления путём повышения качества кадрового потенциала органов местного самоуправления и формирования эффективной кадровой политики.</w:t>
      </w:r>
    </w:p>
    <w:p w:rsidR="00643E65" w:rsidRPr="00DD252F" w:rsidRDefault="00643E65" w:rsidP="00643E65"/>
    <w:p w:rsidR="00BC283A" w:rsidRPr="00DD252F" w:rsidRDefault="00BC283A" w:rsidP="00B36A4E">
      <w:pPr>
        <w:pStyle w:val="3"/>
        <w:spacing w:before="0"/>
        <w:ind w:left="-142" w:firstLine="851"/>
        <w:rPr>
          <w:rFonts w:ascii="Times New Roman" w:hAnsi="Times New Roman"/>
          <w:color w:val="auto"/>
          <w:sz w:val="28"/>
          <w:szCs w:val="28"/>
        </w:rPr>
      </w:pPr>
      <w:r w:rsidRPr="00DD252F">
        <w:rPr>
          <w:rFonts w:ascii="Times New Roman" w:hAnsi="Times New Roman"/>
          <w:color w:val="auto"/>
          <w:sz w:val="28"/>
          <w:szCs w:val="28"/>
        </w:rPr>
        <w:t>Розничная торговля</w:t>
      </w:r>
    </w:p>
    <w:p w:rsidR="00B36A4E" w:rsidRPr="00DD252F" w:rsidRDefault="00B36A4E" w:rsidP="00B36A4E"/>
    <w:p w:rsidR="00A50448" w:rsidRPr="00DD252F" w:rsidRDefault="00A50448" w:rsidP="00A50448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DD252F">
        <w:rPr>
          <w:rFonts w:ascii="Times New Roman CYR" w:hAnsi="Times New Roman CYR" w:cs="Times New Roman CYR"/>
          <w:sz w:val="28"/>
          <w:szCs w:val="28"/>
        </w:rPr>
        <w:t>Главной задачей развития розничной торговли является создание  условий  для  удовлетворения  спроса населения на потребительские  товары, обеспече</w:t>
      </w:r>
      <w:r w:rsidR="009018C2" w:rsidRPr="00DD252F">
        <w:rPr>
          <w:rFonts w:ascii="Times New Roman CYR" w:hAnsi="Times New Roman CYR" w:cs="Times New Roman CYR"/>
          <w:sz w:val="28"/>
          <w:szCs w:val="28"/>
        </w:rPr>
        <w:t xml:space="preserve">ние качества и безопасности их </w:t>
      </w:r>
      <w:r w:rsidRPr="00DD252F">
        <w:rPr>
          <w:rFonts w:ascii="Times New Roman CYR" w:hAnsi="Times New Roman CYR" w:cs="Times New Roman CYR"/>
          <w:sz w:val="28"/>
          <w:szCs w:val="28"/>
        </w:rPr>
        <w:t>предоставления,  облегчение  доступа к товарам и услугам для всех социальных групп жителей муниципального образования.</w:t>
      </w:r>
    </w:p>
    <w:p w:rsidR="00A50448" w:rsidRPr="00DD252F" w:rsidRDefault="00A50448" w:rsidP="00A50448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DD252F">
        <w:rPr>
          <w:rFonts w:ascii="Times New Roman CYR" w:hAnsi="Times New Roman CYR" w:cs="Times New Roman CYR"/>
          <w:sz w:val="28"/>
          <w:szCs w:val="28"/>
        </w:rPr>
        <w:t>Состояние торговли определяется платёжеспособным спросом, структурой потребительских предпочтений, ожиданиями населения и имеют прямую зависимость от экономической ситуации в стране и регионе.</w:t>
      </w:r>
    </w:p>
    <w:p w:rsidR="00A50448" w:rsidRPr="00DD252F" w:rsidRDefault="00A50448" w:rsidP="00A50448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DD252F">
        <w:rPr>
          <w:rFonts w:ascii="Times New Roman CYR" w:hAnsi="Times New Roman CYR" w:cs="Times New Roman CYR"/>
          <w:sz w:val="28"/>
          <w:szCs w:val="28"/>
        </w:rPr>
        <w:t>Развитие потребительского рынка Каратузского района в настоящее время имеет уст</w:t>
      </w:r>
      <w:r w:rsidR="009018C2" w:rsidRPr="00DD252F">
        <w:rPr>
          <w:rFonts w:ascii="Times New Roman CYR" w:hAnsi="Times New Roman CYR" w:cs="Times New Roman CYR"/>
          <w:sz w:val="28"/>
          <w:szCs w:val="28"/>
        </w:rPr>
        <w:t xml:space="preserve">ойчивый положительный характер. </w:t>
      </w:r>
      <w:r w:rsidRPr="00DD252F">
        <w:rPr>
          <w:rFonts w:ascii="Times New Roman CYR" w:hAnsi="Times New Roman CYR" w:cs="Times New Roman CYR"/>
          <w:sz w:val="28"/>
          <w:szCs w:val="28"/>
        </w:rPr>
        <w:t xml:space="preserve">Торговля входит в число ведущих отраслей экономики района и развития малого </w:t>
      </w:r>
      <w:r w:rsidRPr="00DD252F">
        <w:rPr>
          <w:rFonts w:ascii="Times New Roman CYR" w:hAnsi="Times New Roman CYR" w:cs="Times New Roman CYR"/>
          <w:sz w:val="28"/>
          <w:szCs w:val="28"/>
        </w:rPr>
        <w:lastRenderedPageBreak/>
        <w:t>предпринимательства, которое способно наиболее гибко и своевременно реагировать на изменение конъюнктуры, предлагая новые пути удовлетворения потребностей общества.</w:t>
      </w:r>
    </w:p>
    <w:p w:rsidR="00A50448" w:rsidRPr="00DD252F" w:rsidRDefault="00A50448" w:rsidP="00A50448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DD252F"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="009018C2" w:rsidRPr="00DD252F">
        <w:rPr>
          <w:rFonts w:ascii="Times New Roman CYR" w:hAnsi="Times New Roman CYR" w:cs="Times New Roman CYR"/>
          <w:sz w:val="28"/>
          <w:szCs w:val="28"/>
        </w:rPr>
        <w:t>оценке 2024 года</w:t>
      </w:r>
      <w:r w:rsidRPr="00DD252F">
        <w:rPr>
          <w:rFonts w:ascii="Times New Roman CYR" w:hAnsi="Times New Roman CYR" w:cs="Times New Roman CYR"/>
          <w:sz w:val="28"/>
          <w:szCs w:val="28"/>
        </w:rPr>
        <w:t xml:space="preserve"> количество объектов потребительского рынка, осуществляющих деятельность на территории муниципального образования, состав</w:t>
      </w:r>
      <w:r w:rsidR="009018C2" w:rsidRPr="00DD252F">
        <w:rPr>
          <w:rFonts w:ascii="Times New Roman CYR" w:hAnsi="Times New Roman CYR" w:cs="Times New Roman CYR"/>
          <w:sz w:val="28"/>
          <w:szCs w:val="28"/>
        </w:rPr>
        <w:t>ит</w:t>
      </w:r>
      <w:r w:rsidRPr="00DD25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018C2" w:rsidRPr="00DD252F">
        <w:rPr>
          <w:rFonts w:ascii="Times New Roman CYR" w:hAnsi="Times New Roman CYR" w:cs="Times New Roman CYR"/>
          <w:sz w:val="28"/>
          <w:szCs w:val="28"/>
        </w:rPr>
        <w:t>– 115 единиц, а п</w:t>
      </w:r>
      <w:r w:rsidRPr="00DD252F">
        <w:rPr>
          <w:rFonts w:ascii="Times New Roman CYR" w:hAnsi="Times New Roman CYR" w:cs="Times New Roman CYR"/>
          <w:sz w:val="28"/>
          <w:szCs w:val="28"/>
        </w:rPr>
        <w:t>лощадь торгового зала объектов розничной</w:t>
      </w:r>
      <w:r w:rsidR="009018C2" w:rsidRPr="00DD252F">
        <w:rPr>
          <w:rFonts w:ascii="Times New Roman CYR" w:hAnsi="Times New Roman CYR" w:cs="Times New Roman CYR"/>
          <w:sz w:val="28"/>
          <w:szCs w:val="28"/>
        </w:rPr>
        <w:t xml:space="preserve"> торговли</w:t>
      </w:r>
      <w:r w:rsidRPr="00DD252F">
        <w:rPr>
          <w:rFonts w:ascii="Times New Roman CYR" w:hAnsi="Times New Roman CYR" w:cs="Times New Roman CYR"/>
          <w:sz w:val="28"/>
          <w:szCs w:val="28"/>
        </w:rPr>
        <w:t xml:space="preserve"> 9933,4 кв. м.</w:t>
      </w:r>
      <w:r w:rsidR="00D75490" w:rsidRPr="00DD252F">
        <w:t xml:space="preserve"> </w:t>
      </w:r>
      <w:r w:rsidR="00D75490" w:rsidRPr="00DD252F">
        <w:rPr>
          <w:rFonts w:ascii="Times New Roman CYR" w:hAnsi="Times New Roman CYR" w:cs="Times New Roman CYR"/>
          <w:sz w:val="28"/>
          <w:szCs w:val="28"/>
        </w:rPr>
        <w:t>Основной задачей развития потребительского рынка является обеспечение доступности товаров и услуг для населения. Обеспеченность торговой площадью на 1000 человек по оценке 2024 года составит 749,01 кв. м. В прогнозном периоде изменений не ожидается.</w:t>
      </w:r>
    </w:p>
    <w:p w:rsidR="001E06B9" w:rsidRPr="00DD252F" w:rsidRDefault="001E06B9" w:rsidP="00F77075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DD252F">
        <w:rPr>
          <w:rFonts w:ascii="Times New Roman CYR" w:hAnsi="Times New Roman CYR" w:cs="Times New Roman CYR"/>
          <w:sz w:val="28"/>
          <w:szCs w:val="28"/>
        </w:rPr>
        <w:t xml:space="preserve">По оценке 2024 года оборот розничной торговли планируется в сумме 1262045,40 тыс. рублей. Прогноз на 2025 год –1388032,90 тыс. рублей, в 2026 году составит 1503458,30 тыс. рублей, в 2027 году составит 1617953,20 тыс. рублей и темп роста к оценке 2024 года 128,20%. </w:t>
      </w:r>
    </w:p>
    <w:p w:rsidR="009018C2" w:rsidRPr="00DD252F" w:rsidRDefault="009018C2" w:rsidP="00A50448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940"/>
        <w:gridCol w:w="1754"/>
        <w:gridCol w:w="1559"/>
        <w:gridCol w:w="1559"/>
        <w:gridCol w:w="1985"/>
      </w:tblGrid>
      <w:tr w:rsidR="009018C2" w:rsidRPr="00DD252F" w:rsidTr="00EC0F5D">
        <w:trPr>
          <w:trHeight w:val="276"/>
        </w:trPr>
        <w:tc>
          <w:tcPr>
            <w:tcW w:w="18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Наименование показателей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Ед.</w:t>
            </w:r>
          </w:p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изм.</w:t>
            </w:r>
          </w:p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68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C2" w:rsidRPr="00DD252F" w:rsidRDefault="00EC0F5D" w:rsidP="00EC0F5D">
            <w:pPr>
              <w:spacing w:after="200" w:line="276" w:lineRule="auto"/>
              <w:jc w:val="center"/>
            </w:pPr>
            <w:r w:rsidRPr="00DD252F">
              <w:t>Годы</w:t>
            </w:r>
          </w:p>
        </w:tc>
      </w:tr>
      <w:tr w:rsidR="009018C2" w:rsidRPr="00DD252F" w:rsidTr="00EC0F5D">
        <w:tc>
          <w:tcPr>
            <w:tcW w:w="18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2024</w:t>
            </w:r>
          </w:p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2025</w:t>
            </w:r>
          </w:p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прогноз</w:t>
            </w:r>
          </w:p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2 вариант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2026</w:t>
            </w:r>
          </w:p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прогноз</w:t>
            </w:r>
          </w:p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2 вариант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2027</w:t>
            </w:r>
          </w:p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прогноз</w:t>
            </w:r>
          </w:p>
          <w:p w:rsidR="009018C2" w:rsidRPr="00DD252F" w:rsidRDefault="009018C2" w:rsidP="0053153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2 вариант</w:t>
            </w:r>
          </w:p>
        </w:tc>
      </w:tr>
      <w:tr w:rsidR="009018C2" w:rsidRPr="00DD252F" w:rsidTr="00FF625D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Оборот розничной торговли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</w:p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тыс. руб.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1262045,4</w:t>
            </w:r>
            <w:r w:rsidR="001E06B9"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1388032,9</w:t>
            </w:r>
            <w:r w:rsidR="001E06B9"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1503458,3</w:t>
            </w:r>
            <w:r w:rsidR="001E06B9"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1617953,2</w:t>
            </w:r>
            <w:r w:rsidR="001E06B9"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0</w:t>
            </w:r>
          </w:p>
        </w:tc>
      </w:tr>
      <w:tr w:rsidR="009018C2" w:rsidRPr="00DD252F" w:rsidTr="00FF625D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Темп  роста в сопоставимых  ценах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 xml:space="preserve">    </w:t>
            </w:r>
          </w:p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%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1E06B9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107,94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105,35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104,25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color w:val="000000"/>
                <w:lang w:eastAsia="en-US"/>
              </w:rPr>
              <w:t>103,68</w:t>
            </w:r>
          </w:p>
        </w:tc>
      </w:tr>
      <w:tr w:rsidR="009018C2" w:rsidRPr="00DD252F" w:rsidTr="00FF625D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Оборот розничной торговли в среднем в расчете на душу населения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</w:p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тыс. рублей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96,82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108,52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119,82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131,38</w:t>
            </w:r>
          </w:p>
        </w:tc>
      </w:tr>
      <w:tr w:rsidR="009018C2" w:rsidRPr="00DD252F" w:rsidTr="00FF625D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53153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Темп роста в действующих ценах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%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117,17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112,08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110,41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18C2" w:rsidRPr="00DD252F" w:rsidRDefault="009018C2" w:rsidP="00FF625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D252F">
              <w:rPr>
                <w:rFonts w:ascii="Times New Roman CYR" w:hAnsi="Times New Roman CYR" w:cs="Times New Roman CYR"/>
                <w:lang w:eastAsia="en-US"/>
              </w:rPr>
              <w:t>109,65</w:t>
            </w:r>
          </w:p>
        </w:tc>
      </w:tr>
    </w:tbl>
    <w:p w:rsidR="001E06B9" w:rsidRPr="00DD252F" w:rsidRDefault="001E06B9" w:rsidP="00A50448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A50448" w:rsidRPr="00DD252F" w:rsidRDefault="00A50448" w:rsidP="00A50448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DD252F">
        <w:rPr>
          <w:rFonts w:ascii="Times New Roman CYR" w:hAnsi="Times New Roman CYR" w:cs="Times New Roman CYR"/>
          <w:sz w:val="28"/>
          <w:szCs w:val="28"/>
        </w:rPr>
        <w:t>В районе оборот розничной торговли формируется, в основном, за счет субъектов малого предпринимательства, осуществляющих деятельность на территории района. Товарная насыщенность в магазинах обеспечивает спрос населения в товарах, как местных производителей, так и производителей из других регионов.</w:t>
      </w:r>
    </w:p>
    <w:p w:rsidR="00177A01" w:rsidRPr="00DD252F" w:rsidRDefault="00A50448" w:rsidP="00A50448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DD252F">
        <w:rPr>
          <w:rFonts w:ascii="Times New Roman CYR" w:hAnsi="Times New Roman CYR" w:cs="Times New Roman CYR"/>
          <w:sz w:val="28"/>
          <w:szCs w:val="28"/>
        </w:rPr>
        <w:t xml:space="preserve">В среднесрочной перспективе ожидается, что динамика и изменение структуры оборота розничной торговли будут характеризоваться такими же тенденциями: сдержанного роста доходов населения; незначительного снижения склонности населения к сбережению; сохранению кредитования банками покупки населением товаров длительного пользования. Развитие </w:t>
      </w:r>
      <w:r w:rsidRPr="00DD252F">
        <w:rPr>
          <w:rFonts w:ascii="Times New Roman CYR" w:hAnsi="Times New Roman CYR" w:cs="Times New Roman CYR"/>
          <w:sz w:val="28"/>
          <w:szCs w:val="28"/>
        </w:rPr>
        <w:lastRenderedPageBreak/>
        <w:t xml:space="preserve">потребительского рынка товаров и услуг в ближайшей перспективе будет направлено на максимальную обеспеченность населения необходимыми товарами и услугами, развитие конкурентной среды, повышение качества и безопасности товаров. </w:t>
      </w:r>
    </w:p>
    <w:p w:rsidR="00177A01" w:rsidRPr="00DD252F" w:rsidRDefault="00177A01" w:rsidP="00FB0D92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sz w:val="28"/>
          <w:szCs w:val="28"/>
        </w:rPr>
      </w:pPr>
    </w:p>
    <w:p w:rsidR="0020673E" w:rsidRPr="00DD252F" w:rsidRDefault="00BC283A" w:rsidP="00FB0D92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sz w:val="28"/>
          <w:szCs w:val="28"/>
        </w:rPr>
      </w:pPr>
      <w:r w:rsidRPr="00DD252F">
        <w:rPr>
          <w:rFonts w:ascii="Times New Roman CYR" w:hAnsi="Times New Roman CYR" w:cs="Times New Roman CYR"/>
          <w:b/>
          <w:sz w:val="28"/>
          <w:szCs w:val="28"/>
        </w:rPr>
        <w:t>Общественное питание</w:t>
      </w:r>
    </w:p>
    <w:p w:rsidR="00D75490" w:rsidRPr="00DD252F" w:rsidRDefault="00D75490" w:rsidP="00FB0D92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sz w:val="28"/>
          <w:szCs w:val="28"/>
        </w:rPr>
      </w:pPr>
    </w:p>
    <w:p w:rsidR="00F91CA3" w:rsidRPr="00DD252F" w:rsidRDefault="00F91CA3" w:rsidP="00F91CA3">
      <w:pPr>
        <w:autoSpaceDE w:val="0"/>
        <w:autoSpaceDN w:val="0"/>
        <w:adjustRightInd w:val="0"/>
        <w:ind w:firstLine="709"/>
        <w:rPr>
          <w:rFonts w:eastAsiaTheme="minorEastAsia" w:cs="Calibri"/>
          <w:sz w:val="28"/>
          <w:szCs w:val="28"/>
        </w:rPr>
      </w:pPr>
      <w:r w:rsidRPr="00DD252F">
        <w:rPr>
          <w:rFonts w:eastAsiaTheme="minorEastAsia" w:cs="Calibri"/>
          <w:sz w:val="28"/>
          <w:szCs w:val="28"/>
        </w:rPr>
        <w:t>Услуги общественного питания являются особыми по важности, они занимают определяющее место на отраслевом рынке предоставления потребительских услуг в районе.</w:t>
      </w:r>
    </w:p>
    <w:p w:rsidR="00F91CA3" w:rsidRPr="00DD252F" w:rsidRDefault="00F91CA3" w:rsidP="00F91CA3">
      <w:pPr>
        <w:autoSpaceDE w:val="0"/>
        <w:autoSpaceDN w:val="0"/>
        <w:adjustRightInd w:val="0"/>
        <w:ind w:firstLine="709"/>
        <w:rPr>
          <w:rFonts w:eastAsiaTheme="minorEastAsia" w:cs="Calibri"/>
          <w:sz w:val="28"/>
          <w:szCs w:val="28"/>
        </w:rPr>
      </w:pPr>
      <w:r w:rsidRPr="00DD252F">
        <w:rPr>
          <w:rFonts w:eastAsiaTheme="minorEastAsia" w:cs="Calibri"/>
          <w:sz w:val="28"/>
          <w:szCs w:val="28"/>
        </w:rPr>
        <w:t>Одним из показателей, характеризующих развитие общественного питания, является динамика оборота общественного питания. Оборот общественного питания  сформирован  за счет  субъектов малого и среднего  предпринимательства и родительской платы за школьное питание.</w:t>
      </w:r>
    </w:p>
    <w:p w:rsidR="00F91CA3" w:rsidRPr="00DD252F" w:rsidRDefault="00F91CA3" w:rsidP="00F91CA3">
      <w:pPr>
        <w:autoSpaceDE w:val="0"/>
        <w:autoSpaceDN w:val="0"/>
        <w:adjustRightInd w:val="0"/>
        <w:ind w:firstLine="709"/>
        <w:rPr>
          <w:rFonts w:eastAsiaTheme="minorEastAsia" w:cs="Calibri"/>
          <w:sz w:val="28"/>
          <w:szCs w:val="28"/>
        </w:rPr>
      </w:pPr>
      <w:r w:rsidRPr="00DD252F">
        <w:rPr>
          <w:rFonts w:eastAsiaTheme="minorEastAsia" w:cs="Calibri"/>
          <w:sz w:val="28"/>
          <w:szCs w:val="28"/>
        </w:rPr>
        <w:t xml:space="preserve"> Оборот общественного питания по оценке 2024 года планируется в сумме 45925,80 тыс. рублей. Прогноз на 2025 год – 50237,80 тыс. рублей, на 2026 год – 53291,20</w:t>
      </w:r>
      <w:r w:rsidRPr="00DD252F">
        <w:rPr>
          <w:rFonts w:eastAsiaTheme="minorEastAsia"/>
        </w:rPr>
        <w:t xml:space="preserve"> </w:t>
      </w:r>
      <w:r w:rsidRPr="00DD252F">
        <w:rPr>
          <w:rFonts w:eastAsiaTheme="minorEastAsia" w:cs="Calibri"/>
          <w:sz w:val="28"/>
          <w:szCs w:val="28"/>
        </w:rPr>
        <w:t xml:space="preserve"> тыс. рублей, в 2027 году – 56584,50 тыс. рублей и темп роста к оценке 2024 года составит 123,21%. </w:t>
      </w:r>
    </w:p>
    <w:p w:rsidR="00F91CA3" w:rsidRPr="00DD252F" w:rsidRDefault="00F91CA3" w:rsidP="00F91CA3">
      <w:pPr>
        <w:autoSpaceDE w:val="0"/>
        <w:autoSpaceDN w:val="0"/>
        <w:adjustRightInd w:val="0"/>
        <w:ind w:firstLine="709"/>
        <w:rPr>
          <w:rFonts w:eastAsiaTheme="minorEastAsia" w:cs="Calibri"/>
          <w:sz w:val="28"/>
          <w:szCs w:val="28"/>
        </w:rPr>
      </w:pPr>
      <w:r w:rsidRPr="00DD252F">
        <w:rPr>
          <w:rFonts w:eastAsiaTheme="minorEastAsia" w:cs="Calibri"/>
          <w:sz w:val="28"/>
          <w:szCs w:val="28"/>
        </w:rPr>
        <w:t xml:space="preserve">Предполагается, что дальнейшее развитие сферы  общественного питания в районе будет в значительной мере зависеть от позитивных изменений в реальном секторе экономики, повышения покупательской способности на этот вид услуг и снижения инфляционных процессов. </w:t>
      </w:r>
    </w:p>
    <w:p w:rsidR="00F91CA3" w:rsidRPr="00DD252F" w:rsidRDefault="00F91CA3" w:rsidP="00F91CA3">
      <w:pPr>
        <w:autoSpaceDE w:val="0"/>
        <w:autoSpaceDN w:val="0"/>
        <w:adjustRightInd w:val="0"/>
        <w:ind w:firstLine="709"/>
        <w:rPr>
          <w:rFonts w:eastAsiaTheme="minorEastAsia" w:cs="Calibri"/>
          <w:sz w:val="28"/>
          <w:szCs w:val="28"/>
        </w:rPr>
      </w:pPr>
      <w:r w:rsidRPr="00DD252F">
        <w:rPr>
          <w:rFonts w:eastAsiaTheme="minorEastAsia" w:cs="Calibri"/>
          <w:sz w:val="28"/>
          <w:szCs w:val="28"/>
        </w:rPr>
        <w:t>Сеть предприятий общественного питания района</w:t>
      </w:r>
      <w:r w:rsidR="00B3798D" w:rsidRPr="00DD252F">
        <w:rPr>
          <w:rFonts w:eastAsiaTheme="minorEastAsia" w:cs="Calibri"/>
          <w:sz w:val="28"/>
          <w:szCs w:val="28"/>
        </w:rPr>
        <w:t xml:space="preserve"> по оценке 2024 года и в прогнозном периоде будет</w:t>
      </w:r>
      <w:r w:rsidRPr="00DD252F">
        <w:rPr>
          <w:rFonts w:eastAsiaTheme="minorEastAsia" w:cs="Calibri"/>
          <w:sz w:val="28"/>
          <w:szCs w:val="28"/>
        </w:rPr>
        <w:t xml:space="preserve"> насчитыва</w:t>
      </w:r>
      <w:r w:rsidR="00B3798D" w:rsidRPr="00DD252F">
        <w:rPr>
          <w:rFonts w:eastAsiaTheme="minorEastAsia" w:cs="Calibri"/>
          <w:sz w:val="28"/>
          <w:szCs w:val="28"/>
        </w:rPr>
        <w:t>ть</w:t>
      </w:r>
      <w:r w:rsidRPr="00DD252F">
        <w:rPr>
          <w:rFonts w:eastAsiaTheme="minorEastAsia" w:cs="Calibri"/>
          <w:sz w:val="28"/>
          <w:szCs w:val="28"/>
        </w:rPr>
        <w:t xml:space="preserve"> 7 объектов кафе-баров общей площадью 268 кв. метров на 136 мест. В районе 13 столовых учебных заведений </w:t>
      </w:r>
      <w:r w:rsidR="00B3798D" w:rsidRPr="00DD252F">
        <w:rPr>
          <w:rFonts w:eastAsiaTheme="minorEastAsia" w:cs="Calibri"/>
          <w:sz w:val="28"/>
          <w:szCs w:val="28"/>
        </w:rPr>
        <w:t xml:space="preserve"> площадью 667,9 м</w:t>
      </w:r>
      <w:proofErr w:type="gramStart"/>
      <w:r w:rsidR="00B3798D" w:rsidRPr="00DD252F">
        <w:rPr>
          <w:rFonts w:eastAsiaTheme="minorEastAsia" w:cs="Calibri"/>
          <w:sz w:val="28"/>
          <w:szCs w:val="28"/>
        </w:rPr>
        <w:t>2</w:t>
      </w:r>
      <w:proofErr w:type="gramEnd"/>
      <w:r w:rsidR="00B3798D" w:rsidRPr="00DD252F">
        <w:rPr>
          <w:rFonts w:eastAsiaTheme="minorEastAsia" w:cs="Calibri"/>
          <w:sz w:val="28"/>
          <w:szCs w:val="28"/>
        </w:rPr>
        <w:t xml:space="preserve"> на 584 мест, в прогнозном периоде изменений не ожидается.</w:t>
      </w:r>
    </w:p>
    <w:p w:rsidR="00F91CA3" w:rsidRPr="00DD252F" w:rsidRDefault="00F91CA3" w:rsidP="00F91CA3">
      <w:pPr>
        <w:autoSpaceDE w:val="0"/>
        <w:autoSpaceDN w:val="0"/>
        <w:adjustRightInd w:val="0"/>
        <w:ind w:firstLine="709"/>
        <w:rPr>
          <w:rFonts w:eastAsiaTheme="minorEastAsia" w:cs="Calibri"/>
          <w:sz w:val="28"/>
          <w:szCs w:val="28"/>
        </w:rPr>
      </w:pPr>
      <w:r w:rsidRPr="00DD252F">
        <w:rPr>
          <w:rFonts w:eastAsiaTheme="minorEastAsia" w:cs="Calibri"/>
          <w:sz w:val="28"/>
          <w:szCs w:val="28"/>
        </w:rPr>
        <w:t>Общественного питания предприятий муниципальной формы собственности нет.</w:t>
      </w:r>
    </w:p>
    <w:p w:rsidR="00F91CA3" w:rsidRPr="00DD252F" w:rsidRDefault="00F91CA3" w:rsidP="00F91CA3">
      <w:pPr>
        <w:autoSpaceDE w:val="0"/>
        <w:autoSpaceDN w:val="0"/>
        <w:adjustRightInd w:val="0"/>
        <w:ind w:firstLine="709"/>
        <w:rPr>
          <w:rFonts w:eastAsiaTheme="minorEastAsia" w:cs="Calibri"/>
          <w:sz w:val="28"/>
          <w:szCs w:val="28"/>
        </w:rPr>
      </w:pPr>
    </w:p>
    <w:p w:rsidR="00E1360C" w:rsidRPr="00DD252F" w:rsidRDefault="00E1360C" w:rsidP="00F91CA3">
      <w:pPr>
        <w:autoSpaceDE w:val="0"/>
        <w:autoSpaceDN w:val="0"/>
        <w:adjustRightInd w:val="0"/>
        <w:ind w:firstLine="709"/>
        <w:rPr>
          <w:rFonts w:eastAsiaTheme="minorEastAsia" w:cs="Calibri"/>
          <w:sz w:val="28"/>
          <w:szCs w:val="28"/>
        </w:rPr>
      </w:pPr>
    </w:p>
    <w:tbl>
      <w:tblPr>
        <w:tblW w:w="9963" w:type="dxa"/>
        <w:jc w:val="center"/>
        <w:tblInd w:w="-1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7"/>
        <w:gridCol w:w="1418"/>
        <w:gridCol w:w="1417"/>
        <w:gridCol w:w="1418"/>
        <w:gridCol w:w="1701"/>
        <w:gridCol w:w="1862"/>
      </w:tblGrid>
      <w:tr w:rsidR="004C50FB" w:rsidRPr="00DD252F" w:rsidTr="00A644CF">
        <w:trPr>
          <w:trHeight w:val="276"/>
          <w:jc w:val="center"/>
        </w:trPr>
        <w:tc>
          <w:tcPr>
            <w:tcW w:w="214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</w:p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Наименование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</w:p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Единица</w:t>
            </w:r>
          </w:p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измерения</w:t>
            </w:r>
          </w:p>
        </w:tc>
        <w:tc>
          <w:tcPr>
            <w:tcW w:w="639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50FB" w:rsidRPr="00DD252F" w:rsidRDefault="00A644CF" w:rsidP="00A644CF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DD252F">
              <w:rPr>
                <w:rFonts w:eastAsiaTheme="minorEastAsia"/>
              </w:rPr>
              <w:t>Годы</w:t>
            </w:r>
          </w:p>
        </w:tc>
      </w:tr>
      <w:tr w:rsidR="004C50FB" w:rsidRPr="00DD252F" w:rsidTr="00A644CF">
        <w:trPr>
          <w:trHeight w:val="617"/>
          <w:jc w:val="center"/>
        </w:trPr>
        <w:tc>
          <w:tcPr>
            <w:tcW w:w="21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2024</w:t>
            </w:r>
          </w:p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оценка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2025</w:t>
            </w:r>
          </w:p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прогноз</w:t>
            </w:r>
          </w:p>
          <w:p w:rsidR="004C50FB" w:rsidRPr="00DD252F" w:rsidRDefault="00A644CF" w:rsidP="00A644C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 xml:space="preserve">2 </w:t>
            </w:r>
            <w:r w:rsidR="004C50FB" w:rsidRPr="00DD252F">
              <w:rPr>
                <w:rFonts w:eastAsiaTheme="minorEastAsia"/>
                <w:lang w:eastAsia="en-US"/>
              </w:rPr>
              <w:t>вариант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2026</w:t>
            </w:r>
          </w:p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прогноз</w:t>
            </w:r>
          </w:p>
          <w:p w:rsidR="004C50FB" w:rsidRPr="00DD252F" w:rsidRDefault="00A644CF" w:rsidP="00A644C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 xml:space="preserve">2 </w:t>
            </w:r>
            <w:r w:rsidR="004C50FB" w:rsidRPr="00DD252F">
              <w:rPr>
                <w:rFonts w:eastAsiaTheme="minorEastAsia"/>
                <w:lang w:eastAsia="en-US"/>
              </w:rPr>
              <w:t>вариант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2027</w:t>
            </w:r>
          </w:p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прогноз</w:t>
            </w:r>
          </w:p>
          <w:p w:rsidR="004C50FB" w:rsidRPr="00DD252F" w:rsidRDefault="00A644CF" w:rsidP="00A644C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</w:t>
            </w:r>
            <w:r w:rsidR="004C50FB" w:rsidRPr="00DD252F">
              <w:rPr>
                <w:rFonts w:eastAsiaTheme="minorEastAsia"/>
                <w:lang w:eastAsia="en-US"/>
              </w:rPr>
              <w:t xml:space="preserve"> вариант</w:t>
            </w:r>
          </w:p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</w:p>
        </w:tc>
      </w:tr>
      <w:tr w:rsidR="004C50FB" w:rsidRPr="00DD252F" w:rsidTr="00A644CF">
        <w:trPr>
          <w:trHeight w:val="155"/>
          <w:jc w:val="center"/>
        </w:trPr>
        <w:tc>
          <w:tcPr>
            <w:tcW w:w="2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Оборот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45925,80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50237,80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53291,20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56584,50</w:t>
            </w:r>
          </w:p>
        </w:tc>
      </w:tr>
      <w:tr w:rsidR="004C50FB" w:rsidRPr="00DD252F" w:rsidTr="00A644CF">
        <w:trPr>
          <w:trHeight w:val="857"/>
          <w:jc w:val="center"/>
        </w:trPr>
        <w:tc>
          <w:tcPr>
            <w:tcW w:w="2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Темп роста в сопоставимых ценах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101,90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0FB" w:rsidRPr="00DD252F" w:rsidRDefault="004C50FB" w:rsidP="00F91CA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101,90</w:t>
            </w:r>
          </w:p>
        </w:tc>
      </w:tr>
    </w:tbl>
    <w:p w:rsidR="000819F9" w:rsidRDefault="000819F9" w:rsidP="00F91CA3">
      <w:pPr>
        <w:autoSpaceDE w:val="0"/>
        <w:autoSpaceDN w:val="0"/>
        <w:adjustRightInd w:val="0"/>
        <w:spacing w:line="276" w:lineRule="auto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</w:p>
    <w:p w:rsidR="00437F6F" w:rsidRDefault="00437F6F" w:rsidP="00F91CA3">
      <w:pPr>
        <w:autoSpaceDE w:val="0"/>
        <w:autoSpaceDN w:val="0"/>
        <w:adjustRightInd w:val="0"/>
        <w:spacing w:line="276" w:lineRule="auto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</w:p>
    <w:p w:rsidR="00F77075" w:rsidRPr="00DD252F" w:rsidRDefault="00F77075" w:rsidP="00F91CA3">
      <w:pPr>
        <w:autoSpaceDE w:val="0"/>
        <w:autoSpaceDN w:val="0"/>
        <w:adjustRightInd w:val="0"/>
        <w:spacing w:line="276" w:lineRule="auto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</w:p>
    <w:p w:rsidR="004105BC" w:rsidRPr="00DD252F" w:rsidRDefault="003E4603" w:rsidP="00AA06D7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outlineLvl w:val="1"/>
        <w:rPr>
          <w:b/>
          <w:sz w:val="28"/>
          <w:szCs w:val="28"/>
        </w:rPr>
      </w:pPr>
      <w:r w:rsidRPr="00DD252F">
        <w:rPr>
          <w:b/>
          <w:sz w:val="28"/>
          <w:szCs w:val="28"/>
        </w:rPr>
        <w:lastRenderedPageBreak/>
        <w:t>Образование</w:t>
      </w:r>
    </w:p>
    <w:p w:rsidR="00FE6E00" w:rsidRPr="00DD252F" w:rsidRDefault="00FE6E00" w:rsidP="0039351F">
      <w:pPr>
        <w:pStyle w:val="3"/>
        <w:spacing w:before="0"/>
        <w:ind w:firstLine="709"/>
        <w:jc w:val="left"/>
        <w:rPr>
          <w:rFonts w:ascii="Times New Roman" w:hAnsi="Times New Roman"/>
          <w:color w:val="auto"/>
          <w:sz w:val="28"/>
          <w:szCs w:val="28"/>
        </w:rPr>
      </w:pPr>
      <w:bookmarkStart w:id="5" w:name="_Toc137552980"/>
      <w:bookmarkStart w:id="6" w:name="_Toc177304562"/>
      <w:bookmarkStart w:id="7" w:name="_Toc209323015"/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Муниципальная образовательная система – это развитая сеть учреждений, которые предоставляют широкий спектр образовательных услуг различного уровня. </w:t>
      </w:r>
      <w:r w:rsidR="00CC2F2B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По оценке 2024 года и в прогнозном периоде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в системе образования</w:t>
      </w:r>
      <w:r w:rsidR="00CC2F2B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будут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функционирова</w:t>
      </w:r>
      <w:r w:rsidR="00CC2F2B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ть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26 муниципальных образовательных учреждений, реализующих программы дошкольного, общего и дополнительного образования:</w:t>
      </w:r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9 общеобразовательных учреждений  среднего общего образования;</w:t>
      </w:r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4 учреждения, реализующие программы основного общего образования;</w:t>
      </w:r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10 дошкольных образовательных учреждений;</w:t>
      </w:r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3 учреждения дополнительного образования.</w:t>
      </w:r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i/>
          <w:sz w:val="28"/>
          <w:szCs w:val="28"/>
        </w:rPr>
        <w:t>В  сфере  дошкольного  образования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Управлением образования  используется автоматизированная информационная система учета детей, нуждающихся  в  услугах дошкольного  образования  «АИС.  Дошкольник».  С  помощью  этой программы  осуществляется   ежемесячный  мониторинг численности  детей, получающих образовательные услуги по дошкольному образованию и состоящих на очереди.</w:t>
      </w:r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Численность детей от 1 до 6 лет, состоящих на учете для определения в дошкольные образовательные учреждения муниципальной формы собственности</w:t>
      </w:r>
      <w:r w:rsidR="00E12F7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,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</w:t>
      </w:r>
      <w:r w:rsidR="00E12F7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по оценке 2024 года и в прогнозном периоде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</w:t>
      </w:r>
      <w:r w:rsidR="00E12F7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2025-2027 гг. 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состави</w:t>
      </w:r>
      <w:r w:rsidR="00E12F7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т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0 человек</w:t>
      </w:r>
      <w:r w:rsidR="002665A9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соответственно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.</w:t>
      </w:r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Численность детей, посещающих дошкольные образовательные учреждения муниципальной формы собственности </w:t>
      </w:r>
      <w:r w:rsidR="00F37E23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по оценке 2024 года и в прогнозном периоде 2025-2027 гг. составит 561 чел.</w:t>
      </w:r>
      <w:r w:rsidR="002665A9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соответственно.</w:t>
      </w:r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Численность детей в возрасте от 1 до 6 лет, получающих дошкольную образовательную услугу и (или) услугу по их содержанию в общеобразовательных учреждениях муниципальной формы собственности </w:t>
      </w:r>
      <w:r w:rsidR="00F37E23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по оценке 2024 года и в прогнозном периоде 2025-2027 гг. составит 422 чел. соответственно.</w:t>
      </w:r>
    </w:p>
    <w:p w:rsidR="00C93B4E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Численность детей в возрасте от 3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 </w:t>
      </w:r>
      <w:r w:rsidR="00C93B4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по оценке 2024 года и в прогнозном периоде</w:t>
      </w:r>
      <w:r w:rsidR="00BC1A5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2025-2027 гг.</w:t>
      </w:r>
      <w:r w:rsidR="00C93B4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составит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</w:t>
      </w:r>
      <w:r w:rsidR="00C93B4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510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человек</w:t>
      </w:r>
      <w:r w:rsidR="00C93B4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соответственно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.</w:t>
      </w:r>
      <w:r w:rsidRPr="00DD252F">
        <w:rPr>
          <w:rFonts w:eastAsiaTheme="minorEastAsia"/>
        </w:rPr>
        <w:t xml:space="preserve"> </w:t>
      </w:r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i/>
          <w:sz w:val="28"/>
          <w:szCs w:val="28"/>
        </w:rPr>
        <w:t>В сфере общего образования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</w:t>
      </w:r>
    </w:p>
    <w:p w:rsidR="00393DFF" w:rsidRPr="00DD252F" w:rsidRDefault="00013333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По оценке 2024 года</w:t>
      </w:r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4</w:t>
      </w:r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здани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я</w:t>
      </w:r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общеобразовательных организаций всех форм собственности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будут</w:t>
      </w:r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требова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ть</w:t>
      </w:r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капитального ремонта (МБОУ </w:t>
      </w:r>
      <w:proofErr w:type="spellStart"/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Каратузская</w:t>
      </w:r>
      <w:proofErr w:type="spellEnd"/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СОШ – 3 здания, 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</w:t>
      </w:r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МБОУ </w:t>
      </w:r>
      <w:proofErr w:type="spellStart"/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Ка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чульская</w:t>
      </w:r>
      <w:proofErr w:type="spellEnd"/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СОШ</w:t>
      </w:r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). В плановом периоде 2025 – 2027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г</w:t>
      </w:r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г. показатель изменится с 4 до 3 в связи с планируемым капитальным ремонтом одного здания МБОУ </w:t>
      </w:r>
      <w:proofErr w:type="spellStart"/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Каратузская</w:t>
      </w:r>
      <w:proofErr w:type="spellEnd"/>
      <w:r w:rsidR="00393DFF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СОШ.</w:t>
      </w:r>
    </w:p>
    <w:p w:rsidR="00393DFF" w:rsidRPr="00DD252F" w:rsidRDefault="00013333" w:rsidP="00393DFF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8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Численность учащихся в дневных образовательных организациях муниципальной формы собственности</w:t>
      </w:r>
      <w:r w:rsidR="00A85CA4">
        <w:rPr>
          <w:rFonts w:eastAsiaTheme="minorEastAsia"/>
          <w:sz w:val="28"/>
          <w:szCs w:val="28"/>
        </w:rPr>
        <w:t>,</w:t>
      </w:r>
      <w:r w:rsidRPr="00DD252F">
        <w:rPr>
          <w:rFonts w:eastAsiaTheme="minorEastAsia"/>
          <w:sz w:val="28"/>
          <w:szCs w:val="28"/>
        </w:rPr>
        <w:t xml:space="preserve"> занимающихся во вторую (третью) </w:t>
      </w:r>
      <w:r w:rsidRPr="00DD252F">
        <w:rPr>
          <w:rFonts w:eastAsiaTheme="minorEastAsia"/>
          <w:sz w:val="28"/>
          <w:szCs w:val="28"/>
        </w:rPr>
        <w:lastRenderedPageBreak/>
        <w:t>смену, на начало учебного года по оценке 2024 года и в планируемом периоде 2025-2027 гг. составит 0 человек.</w:t>
      </w:r>
    </w:p>
    <w:p w:rsidR="00013333" w:rsidRPr="00DD252F" w:rsidRDefault="00013333" w:rsidP="00393DFF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8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Численность выпускников дневных общеобразовательных организаций муниципальной формы собственности, не получивших аттестат о среднем (полном) образовании по оценке 2024 года составит 2 человека, в прогнозируемом периоде 2025-2027 гг. планируется уменьшить данный показатель до 0 человек.</w:t>
      </w:r>
    </w:p>
    <w:p w:rsidR="00013333" w:rsidRPr="00DD252F" w:rsidRDefault="00013333" w:rsidP="00393DFF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8"/>
        <w:rPr>
          <w:rFonts w:eastAsiaTheme="minorEastAsia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2"/>
        <w:gridCol w:w="1800"/>
        <w:gridCol w:w="1800"/>
        <w:gridCol w:w="2478"/>
      </w:tblGrid>
      <w:tr w:rsidR="00393DFF" w:rsidRPr="00DD252F" w:rsidTr="00013333">
        <w:tc>
          <w:tcPr>
            <w:tcW w:w="9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Общее образование</w:t>
            </w:r>
          </w:p>
        </w:tc>
      </w:tr>
      <w:tr w:rsidR="00393DFF" w:rsidRPr="00DD252F" w:rsidTr="00013333">
        <w:tc>
          <w:tcPr>
            <w:tcW w:w="3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Показатели (чел.)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2025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2026 год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2027 год</w:t>
            </w:r>
          </w:p>
        </w:tc>
      </w:tr>
      <w:tr w:rsidR="00393DFF" w:rsidRPr="00DD252F" w:rsidTr="00013333">
        <w:trPr>
          <w:trHeight w:val="523"/>
        </w:trPr>
        <w:tc>
          <w:tcPr>
            <w:tcW w:w="3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Количество учащихся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2047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2084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2032</w:t>
            </w:r>
          </w:p>
        </w:tc>
      </w:tr>
      <w:tr w:rsidR="00393DFF" w:rsidRPr="00DD252F" w:rsidTr="00013333">
        <w:trPr>
          <w:trHeight w:val="669"/>
        </w:trPr>
        <w:tc>
          <w:tcPr>
            <w:tcW w:w="3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Количество первоклассников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141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141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121</w:t>
            </w:r>
          </w:p>
        </w:tc>
      </w:tr>
      <w:tr w:rsidR="00393DFF" w:rsidRPr="00DD252F" w:rsidTr="00013333">
        <w:trPr>
          <w:trHeight w:val="659"/>
        </w:trPr>
        <w:tc>
          <w:tcPr>
            <w:tcW w:w="3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Выпускники 11</w:t>
            </w:r>
            <w:r w:rsidR="00F6345F"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 xml:space="preserve"> </w:t>
            </w: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классов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100</w:t>
            </w:r>
          </w:p>
        </w:tc>
      </w:tr>
      <w:tr w:rsidR="00393DFF" w:rsidRPr="00DD252F" w:rsidTr="00013333">
        <w:trPr>
          <w:trHeight w:val="663"/>
        </w:trPr>
        <w:tc>
          <w:tcPr>
            <w:tcW w:w="3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Выпускники 9 классов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214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231</w:t>
            </w:r>
          </w:p>
        </w:tc>
      </w:tr>
      <w:tr w:rsidR="00393DFF" w:rsidRPr="00DD252F" w:rsidTr="00013333">
        <w:trPr>
          <w:trHeight w:val="1078"/>
        </w:trPr>
        <w:tc>
          <w:tcPr>
            <w:tcW w:w="3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 xml:space="preserve">Доля </w:t>
            </w:r>
            <w:proofErr w:type="gramStart"/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выпускников</w:t>
            </w:r>
            <w:proofErr w:type="gramEnd"/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 xml:space="preserve"> не получивших аттестат (%)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0133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0</w:t>
            </w:r>
          </w:p>
        </w:tc>
      </w:tr>
    </w:tbl>
    <w:p w:rsidR="00344B54" w:rsidRPr="00DD252F" w:rsidRDefault="00344B54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</w:p>
    <w:p w:rsidR="00393DFF" w:rsidRPr="00DD252F" w:rsidRDefault="00393DFF" w:rsidP="00CF697E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8"/>
        <w:rPr>
          <w:rFonts w:eastAsiaTheme="minorEastAsia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i/>
          <w:sz w:val="28"/>
          <w:szCs w:val="28"/>
        </w:rPr>
        <w:t>В сфере  дополнительного  образования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образовательные  услуги оказывают населению 3 </w:t>
      </w:r>
      <w:proofErr w:type="gramStart"/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подведомственных</w:t>
      </w:r>
      <w:proofErr w:type="gramEnd"/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Управлению образования учреждения</w:t>
      </w:r>
      <w:r w:rsidR="00E1220A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.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На базе  школ действуют 13 физкультурно-спортивных клуба. </w:t>
      </w:r>
      <w:r w:rsidR="00CF697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Численность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детей в возрасте 5-18 лет, получающих услуги по дополнительному образованию в организациях всех форм собственности</w:t>
      </w:r>
      <w:r w:rsidR="00CF697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,</w:t>
      </w:r>
      <w:r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состави</w:t>
      </w:r>
      <w:r w:rsidR="00AD2EDB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т по оценке 2024 года</w:t>
      </w:r>
      <w:r w:rsidR="00D73690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и в прогнозном периоде 2025-2027 гг. </w:t>
      </w:r>
      <w:r w:rsidR="00CF697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–</w:t>
      </w:r>
      <w:r w:rsidR="00D73690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 xml:space="preserve"> </w:t>
      </w:r>
      <w:r w:rsidR="00CF697E" w:rsidRPr="00DD252F">
        <w:rPr>
          <w:rFonts w:ascii="Times New Roman CYR" w:eastAsiaTheme="minorEastAsia" w:hAnsi="Times New Roman CYR" w:cs="Times New Roman CYR"/>
          <w:bCs/>
          <w:sz w:val="28"/>
          <w:szCs w:val="28"/>
        </w:rPr>
        <w:t>2066 человек, а доля составит 77,04%.</w:t>
      </w:r>
    </w:p>
    <w:p w:rsidR="00393DFF" w:rsidRPr="00DD252F" w:rsidRDefault="00393DFF" w:rsidP="00CF697E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Cs/>
          <w:i/>
          <w:sz w:val="28"/>
          <w:szCs w:val="28"/>
        </w:rPr>
        <w:t xml:space="preserve">В отделе социальной поддержки детства </w:t>
      </w:r>
      <w:r w:rsidR="00CF697E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з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а счет проведения профилактической работы всех органов системы профилактики</w:t>
      </w:r>
      <w:r w:rsidR="00CF697E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>,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 в прогнозном периоде 2025-2027 годов предполагается сокращение количества</w:t>
      </w:r>
      <w:r w:rsidR="00CF697E"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 детей-сирот, и детей, оставшихся без попечения родителей, состоящих на учете</w:t>
      </w:r>
      <w:r w:rsidRPr="00DD252F">
        <w:rPr>
          <w:rFonts w:ascii="Times New Roman CYR" w:eastAsiaTheme="minorEastAsia" w:hAnsi="Times New Roman CYR" w:cs="Times New Roman CYR"/>
          <w:sz w:val="28"/>
          <w:szCs w:val="28"/>
          <w:lang w:eastAsia="en-US"/>
        </w:rPr>
        <w:t xml:space="preserve">. Количество опекаемых и приемных детей уменьшится за счет достижения ими совершеннолетия, смены местожительства. </w:t>
      </w:r>
    </w:p>
    <w:p w:rsidR="00393DFF" w:rsidRPr="00DD252F" w:rsidRDefault="00393DFF" w:rsidP="00393DFF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rFonts w:ascii="Times New Roman CYR" w:eastAsiaTheme="minorEastAsia" w:hAnsi="Times New Roman CYR" w:cs="Times New Roman CYR"/>
          <w:bCs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418"/>
        <w:gridCol w:w="1481"/>
        <w:gridCol w:w="1921"/>
      </w:tblGrid>
      <w:tr w:rsidR="00393DFF" w:rsidRPr="00DD252F" w:rsidTr="00013333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Показатели (чел.)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2025 год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2026 год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color w:val="000000"/>
                <w:lang w:eastAsia="en-US"/>
              </w:rPr>
              <w:t>2027 год</w:t>
            </w:r>
          </w:p>
        </w:tc>
      </w:tr>
      <w:tr w:rsidR="00393DFF" w:rsidRPr="00DD252F" w:rsidTr="00013333">
        <w:tc>
          <w:tcPr>
            <w:tcW w:w="9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Сеть образовательных учреждений</w:t>
            </w:r>
          </w:p>
        </w:tc>
      </w:tr>
      <w:tr w:rsidR="00393DFF" w:rsidRPr="00DD252F" w:rsidTr="00DF20C4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631591" w:rsidP="00393DFF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hyperlink r:id="rId9" w:history="1">
              <w:r w:rsidR="00393DFF" w:rsidRPr="00DD252F">
                <w:rPr>
                  <w:rFonts w:ascii="Times New Roman CYR" w:eastAsiaTheme="minorEastAsia" w:hAnsi="Times New Roman CYR" w:cs="Times New Roman CYR"/>
                  <w:color w:val="000000"/>
                  <w:u w:val="single"/>
                  <w:lang w:eastAsia="en-US"/>
                </w:rPr>
                <w:t>Количество образовательных организаций всех форм собственности на начало учебного года</w:t>
              </w:r>
            </w:hyperlink>
            <w:r w:rsidR="00DF20C4" w:rsidRPr="00DD252F">
              <w:rPr>
                <w:rFonts w:ascii="Times New Roman CYR" w:eastAsiaTheme="minorEastAsia" w:hAnsi="Times New Roman CYR" w:cs="Times New Roman CYR"/>
                <w:color w:val="000000"/>
                <w:u w:val="single"/>
                <w:lang w:eastAsia="en-US"/>
              </w:rPr>
              <w:t>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26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26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26</w:t>
            </w:r>
          </w:p>
        </w:tc>
      </w:tr>
      <w:tr w:rsidR="00393DFF" w:rsidRPr="00DD252F" w:rsidTr="00DF20C4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  <w:t>Количество дошкольных образовательных учреждений</w:t>
            </w:r>
            <w:r w:rsidR="00DF20C4" w:rsidRPr="00DD252F"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  <w:t>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10</w:t>
            </w:r>
          </w:p>
        </w:tc>
      </w:tr>
      <w:tr w:rsidR="00393DFF" w:rsidRPr="00DD252F" w:rsidTr="00DF20C4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  <w:t>Количество общеобразовательных учреждений</w:t>
            </w:r>
            <w:r w:rsidR="00DF20C4" w:rsidRPr="00DD252F"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  <w:t>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13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13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13</w:t>
            </w:r>
          </w:p>
        </w:tc>
      </w:tr>
      <w:tr w:rsidR="00393DFF" w:rsidRPr="00DD252F" w:rsidTr="00DF20C4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  <w:lastRenderedPageBreak/>
              <w:t>Количество учреждений дополнительного образования</w:t>
            </w:r>
            <w:r w:rsidR="00DF20C4" w:rsidRPr="00DD252F"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  <w:t>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3</w:t>
            </w:r>
          </w:p>
        </w:tc>
      </w:tr>
      <w:tr w:rsidR="00393DFF" w:rsidRPr="00DD252F" w:rsidTr="00013333">
        <w:tc>
          <w:tcPr>
            <w:tcW w:w="9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Дошкольное образование</w:t>
            </w:r>
          </w:p>
        </w:tc>
      </w:tr>
      <w:tr w:rsidR="00393DFF" w:rsidRPr="00DD252F" w:rsidTr="00DF20C4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631591" w:rsidP="00393DFF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hyperlink r:id="rId10" w:history="1">
              <w:r w:rsidR="00393DFF" w:rsidRPr="00DD252F">
                <w:rPr>
                  <w:rFonts w:ascii="Times New Roman CYR" w:eastAsiaTheme="minorEastAsia" w:hAnsi="Times New Roman CYR" w:cs="Times New Roman CYR"/>
                  <w:color w:val="000000"/>
                  <w:u w:val="single"/>
                  <w:lang w:eastAsia="en-US"/>
                </w:rPr>
                <w:t>Численность детей в возрасте от 3 до 7 лет (с учетом детей 7 лет),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периода</w:t>
              </w:r>
            </w:hyperlink>
            <w:r w:rsidR="00DF20C4" w:rsidRPr="00DD252F">
              <w:rPr>
                <w:rFonts w:ascii="Times New Roman CYR" w:eastAsiaTheme="minorEastAsia" w:hAnsi="Times New Roman CYR" w:cs="Times New Roman CYR"/>
                <w:color w:val="000000"/>
                <w:u w:val="single"/>
                <w:lang w:eastAsia="en-US"/>
              </w:rPr>
              <w:t>,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510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Theme="minorEastAsia" w:hAnsi="Calibri" w:cs="Calibri"/>
                <w:b/>
                <w:bCs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510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Theme="minorEastAsia" w:hAnsi="Calibri" w:cs="Calibri"/>
                <w:b/>
                <w:bCs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510</w:t>
            </w:r>
          </w:p>
        </w:tc>
      </w:tr>
      <w:tr w:rsidR="00393DFF" w:rsidRPr="00DD252F" w:rsidTr="00DF20C4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631591" w:rsidP="00393DFF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</w:pPr>
            <w:hyperlink r:id="rId11" w:history="1">
              <w:r w:rsidR="00393DFF" w:rsidRPr="00DD252F">
                <w:rPr>
                  <w:rFonts w:ascii="Times New Roman CYR" w:eastAsiaTheme="minorEastAsia" w:hAnsi="Times New Roman CYR" w:cs="Times New Roman CYR"/>
                  <w:bCs/>
                  <w:color w:val="000000"/>
                  <w:u w:val="single"/>
                  <w:lang w:eastAsia="en-US"/>
                </w:rPr>
                <w:t>Численность детей в возрасте от 1 до 6 лет,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муниципальной формы собственности, на конец периода</w:t>
              </w:r>
            </w:hyperlink>
            <w:r w:rsidR="00DF20C4" w:rsidRPr="00DD252F">
              <w:rPr>
                <w:rFonts w:ascii="Times New Roman CYR" w:eastAsiaTheme="minorEastAsia" w:hAnsi="Times New Roman CYR" w:cs="Times New Roman CYR"/>
                <w:bCs/>
                <w:color w:val="000000"/>
                <w:u w:val="single"/>
                <w:lang w:eastAsia="en-US"/>
              </w:rPr>
              <w:t>,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422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Theme="minorEastAsia" w:hAnsi="Calibri" w:cs="Calibri"/>
                <w:b/>
                <w:bCs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422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Theme="minorEastAsia" w:hAnsi="Calibri" w:cs="Calibri"/>
                <w:b/>
                <w:bCs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422</w:t>
            </w:r>
          </w:p>
        </w:tc>
      </w:tr>
      <w:tr w:rsidR="00393DFF" w:rsidRPr="00DD252F" w:rsidTr="00DF20C4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393DFF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  <w:t>Численность детей, посещающих дошкольные образовательные учреждения</w:t>
            </w:r>
            <w:r w:rsidR="00DF20C4" w:rsidRPr="00DD252F">
              <w:rPr>
                <w:rFonts w:ascii="Times New Roman CYR" w:eastAsiaTheme="minorEastAsia" w:hAnsi="Times New Roman CYR" w:cs="Times New Roman CYR"/>
                <w:bCs/>
                <w:color w:val="000000"/>
                <w:lang w:eastAsia="en-US"/>
              </w:rPr>
              <w:t>,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561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561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393DFF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561</w:t>
            </w:r>
          </w:p>
        </w:tc>
      </w:tr>
      <w:tr w:rsidR="00393DFF" w:rsidRPr="00DD252F" w:rsidTr="00DF20C4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FF" w:rsidRPr="00DD252F" w:rsidRDefault="00DF20C4" w:rsidP="00393DF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color w:val="000000"/>
                <w:u w:val="single"/>
                <w:lang w:eastAsia="en-US"/>
              </w:rPr>
            </w:pPr>
            <w:r w:rsidRPr="00DD252F">
              <w:rPr>
                <w:color w:val="000000"/>
                <w:u w:val="single"/>
                <w:shd w:val="clear" w:color="auto" w:fill="FFFFF0"/>
              </w:rPr>
              <w:t>Численность детей от 1 до 6 лет, состоящих на учете для определения в дошкольные образовательные учреждения муниципальной формы собственности, на конец периода,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DF20C4" w:rsidP="00DF20C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FF" w:rsidRPr="00DD252F" w:rsidRDefault="00DF20C4" w:rsidP="00DF20C4">
            <w:pPr>
              <w:jc w:val="center"/>
              <w:rPr>
                <w:rFonts w:eastAsiaTheme="minorEastAsia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DFF" w:rsidRPr="00DD252F" w:rsidRDefault="00DF20C4" w:rsidP="00DF20C4">
            <w:pPr>
              <w:jc w:val="center"/>
              <w:rPr>
                <w:rFonts w:eastAsiaTheme="minorEastAsia"/>
              </w:rPr>
            </w:pPr>
            <w:r w:rsidRPr="00DD252F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lang w:eastAsia="en-US"/>
              </w:rPr>
              <w:t>0</w:t>
            </w:r>
          </w:p>
        </w:tc>
      </w:tr>
    </w:tbl>
    <w:p w:rsidR="00B244B5" w:rsidRDefault="00B244B5" w:rsidP="000D4076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 CYR" w:eastAsiaTheme="minorEastAsia" w:hAnsi="Times New Roman CYR" w:cs="Times New Roman CYR"/>
          <w:b/>
          <w:bCs/>
          <w:color w:val="000000"/>
          <w:sz w:val="28"/>
          <w:szCs w:val="28"/>
        </w:rPr>
      </w:pPr>
    </w:p>
    <w:p w:rsidR="001426BA" w:rsidRDefault="001426BA" w:rsidP="000D4076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 CYR" w:eastAsiaTheme="minorEastAsia" w:hAnsi="Times New Roman CYR" w:cs="Times New Roman CYR"/>
          <w:b/>
          <w:bCs/>
          <w:color w:val="000000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/>
          <w:bCs/>
          <w:color w:val="000000"/>
          <w:sz w:val="28"/>
          <w:szCs w:val="28"/>
        </w:rPr>
        <w:t>Физическая культура и спорт</w:t>
      </w:r>
    </w:p>
    <w:p w:rsidR="00B244B5" w:rsidRPr="00DD252F" w:rsidRDefault="00B244B5" w:rsidP="000D4076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 CYR" w:eastAsiaTheme="minorEastAsia" w:hAnsi="Times New Roman CYR" w:cs="Times New Roman CYR"/>
          <w:b/>
          <w:bCs/>
          <w:color w:val="000000"/>
          <w:sz w:val="28"/>
          <w:szCs w:val="28"/>
        </w:rPr>
      </w:pPr>
    </w:p>
    <w:p w:rsidR="00AE61FE" w:rsidRPr="00DD252F" w:rsidRDefault="00B244B5" w:rsidP="00B244B5">
      <w:pPr>
        <w:ind w:firstLine="709"/>
        <w:rPr>
          <w:rFonts w:eastAsiaTheme="minorEastAsia"/>
          <w:sz w:val="28"/>
          <w:szCs w:val="28"/>
        </w:rPr>
      </w:pPr>
      <w:r>
        <w:rPr>
          <w:rFonts w:ascii="Times New Roman CYR" w:eastAsiaTheme="minorEastAsia" w:hAnsi="Times New Roman CYR" w:cs="Times New Roman CYR"/>
          <w:color w:val="000000"/>
          <w:sz w:val="28"/>
          <w:szCs w:val="12"/>
        </w:rPr>
        <w:t xml:space="preserve"> </w:t>
      </w:r>
      <w:r w:rsidR="00AE61FE" w:rsidRPr="00DD252F">
        <w:rPr>
          <w:rFonts w:eastAsiaTheme="minorEastAsia"/>
          <w:sz w:val="28"/>
          <w:szCs w:val="28"/>
        </w:rPr>
        <w:t>Численность населения систематически занимающегося физкультурой и спортом по оценке 2024 года составит 6508 человек, в прогнозном периоде ожидается увеличение показателя и составит: 2025 год – 6988 человек, 2026 год – 7607 человек, 2027 год – 7973 человек и темп роста к оценке 2024 года составит 122,51%.</w:t>
      </w:r>
    </w:p>
    <w:p w:rsidR="001426BA" w:rsidRPr="00DD252F" w:rsidRDefault="001426BA" w:rsidP="001426BA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По оценке 2024 года ожидаются значения показателей по всем возрастным группам:</w:t>
      </w:r>
    </w:p>
    <w:p w:rsidR="001426BA" w:rsidRPr="00DD252F" w:rsidRDefault="001426BA" w:rsidP="001426BA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- 98,10 % доля детей и молодежи в возрасте 3-29 лет, систематически занимающихся физической культурой и спортом или 4157 человек.</w:t>
      </w:r>
    </w:p>
    <w:p w:rsidR="001426BA" w:rsidRPr="00DD252F" w:rsidRDefault="001426BA" w:rsidP="001426BA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- 37,07% доля граждан среднего возраста (женщины в возрасте 30-54 лет, мужчины в возрасте 30-59 лет), систематически занимающихся физической культурой и спортом или 1656 человек.</w:t>
      </w:r>
    </w:p>
    <w:p w:rsidR="001426BA" w:rsidRPr="00DD252F" w:rsidRDefault="001426BA" w:rsidP="001426BA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- 17,5 % доля граждан старшего возраста (женщины в возрасте 55-79 лет, мужчины в возрасте 60-79 лет), систематически занимающихся физической культурой и спортом или 695 человек.</w:t>
      </w:r>
    </w:p>
    <w:p w:rsidR="003D76C6" w:rsidRPr="00DD252F" w:rsidRDefault="001426BA" w:rsidP="001426BA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lastRenderedPageBreak/>
        <w:t>На прогнозный период планируется достичь увеличения показателей</w:t>
      </w:r>
      <w:r w:rsidR="003D76C6" w:rsidRPr="00DD252F">
        <w:rPr>
          <w:rFonts w:eastAsiaTheme="minorEastAsia"/>
          <w:sz w:val="28"/>
          <w:szCs w:val="28"/>
        </w:rPr>
        <w:t>.</w:t>
      </w:r>
    </w:p>
    <w:p w:rsidR="001426BA" w:rsidRPr="00DD252F" w:rsidRDefault="00833DAF" w:rsidP="001426BA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 2025 год</w:t>
      </w:r>
      <w:r w:rsidR="001426BA" w:rsidRPr="00DD252F">
        <w:rPr>
          <w:rFonts w:eastAsiaTheme="minorEastAsia"/>
          <w:sz w:val="28"/>
          <w:szCs w:val="28"/>
        </w:rPr>
        <w:t>:</w:t>
      </w:r>
    </w:p>
    <w:p w:rsidR="001426BA" w:rsidRPr="00DD252F" w:rsidRDefault="001426BA" w:rsidP="001426BA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- 9</w:t>
      </w:r>
      <w:r w:rsidR="00833DAF" w:rsidRPr="00DD252F">
        <w:rPr>
          <w:rFonts w:eastAsiaTheme="minorEastAsia"/>
          <w:sz w:val="28"/>
          <w:szCs w:val="28"/>
        </w:rPr>
        <w:t>8,17</w:t>
      </w:r>
      <w:r w:rsidRPr="00DD252F">
        <w:rPr>
          <w:rFonts w:eastAsiaTheme="minorEastAsia"/>
          <w:sz w:val="28"/>
          <w:szCs w:val="28"/>
        </w:rPr>
        <w:t xml:space="preserve"> % доля детей и молодежи в возрасте 3-29 лет, систематически занимающихся физичес</w:t>
      </w:r>
      <w:r w:rsidR="00833DAF" w:rsidRPr="00DD252F">
        <w:rPr>
          <w:rFonts w:eastAsiaTheme="minorEastAsia"/>
          <w:sz w:val="28"/>
          <w:szCs w:val="28"/>
        </w:rPr>
        <w:t>кой культурой и спортом или 4160</w:t>
      </w:r>
      <w:r w:rsidRPr="00DD252F">
        <w:rPr>
          <w:rFonts w:eastAsiaTheme="minorEastAsia"/>
          <w:sz w:val="28"/>
          <w:szCs w:val="28"/>
        </w:rPr>
        <w:t xml:space="preserve"> человек.</w:t>
      </w:r>
    </w:p>
    <w:p w:rsidR="001426BA" w:rsidRPr="00DD252F" w:rsidRDefault="00833DAF" w:rsidP="001426BA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- 45,67</w:t>
      </w:r>
      <w:r w:rsidR="001426BA" w:rsidRPr="00DD252F">
        <w:rPr>
          <w:rFonts w:eastAsiaTheme="minorEastAsia"/>
          <w:sz w:val="28"/>
          <w:szCs w:val="28"/>
        </w:rPr>
        <w:t xml:space="preserve"> % доля граждан среднего возраста (женщины в возрасте 30-54 лет, мужчины в возрасте 30-59 лет), систематически занимающихся физичес</w:t>
      </w:r>
      <w:r w:rsidRPr="00DD252F">
        <w:rPr>
          <w:rFonts w:eastAsiaTheme="minorEastAsia"/>
          <w:sz w:val="28"/>
          <w:szCs w:val="28"/>
        </w:rPr>
        <w:t>кой культурой и спортом или 2040</w:t>
      </w:r>
      <w:r w:rsidR="001426BA" w:rsidRPr="00DD252F">
        <w:rPr>
          <w:rFonts w:eastAsiaTheme="minorEastAsia"/>
          <w:sz w:val="28"/>
          <w:szCs w:val="28"/>
        </w:rPr>
        <w:t xml:space="preserve"> человек.</w:t>
      </w:r>
    </w:p>
    <w:p w:rsidR="00A3583C" w:rsidRPr="00DD252F" w:rsidRDefault="00833DAF" w:rsidP="001426BA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- 19,80</w:t>
      </w:r>
      <w:r w:rsidR="001426BA" w:rsidRPr="00DD252F">
        <w:rPr>
          <w:rFonts w:eastAsiaTheme="minorEastAsia"/>
          <w:sz w:val="28"/>
          <w:szCs w:val="28"/>
        </w:rPr>
        <w:t xml:space="preserve"> % доля граждан старшего возраста (женщины в возрасте 55-79 лет, мужчины в возрасте 60-79 лет), систематически занимающихся физической культурой и спортом или </w:t>
      </w:r>
      <w:r w:rsidRPr="00DD252F">
        <w:rPr>
          <w:rFonts w:eastAsiaTheme="minorEastAsia"/>
          <w:sz w:val="28"/>
          <w:szCs w:val="28"/>
        </w:rPr>
        <w:t>788</w:t>
      </w:r>
      <w:r w:rsidR="001426BA" w:rsidRPr="00DD252F">
        <w:rPr>
          <w:rFonts w:eastAsiaTheme="minorEastAsia"/>
          <w:sz w:val="28"/>
          <w:szCs w:val="28"/>
        </w:rPr>
        <w:t xml:space="preserve"> человек.</w:t>
      </w:r>
    </w:p>
    <w:p w:rsidR="000334E3" w:rsidRPr="00DD252F" w:rsidRDefault="000334E3" w:rsidP="001426BA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2026 год:</w:t>
      </w:r>
    </w:p>
    <w:p w:rsidR="003D76C6" w:rsidRPr="00DD252F" w:rsidRDefault="003D76C6" w:rsidP="003D76C6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- 98,20 % доля детей и молодежи в возрасте 3-29 лет, систематически занимающихся физической культурой и спортом или 4161 человек.</w:t>
      </w:r>
    </w:p>
    <w:p w:rsidR="003D76C6" w:rsidRPr="00DD252F" w:rsidRDefault="003D76C6" w:rsidP="003D76C6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- 57,10 % доля граждан среднего возраста (женщины в возрасте 30-54 лет, мужчины в возрасте 30-59 лет), систематически занимающихся физической культурой и спортом или 2551 человек.</w:t>
      </w:r>
    </w:p>
    <w:p w:rsidR="003D76C6" w:rsidRPr="00DD252F" w:rsidRDefault="003D76C6" w:rsidP="003D76C6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- 22,50 % доля граждан старшего возраста (женщины в возрасте 55-79 лет, мужчины в возрасте 60-79 лет), систематически занимающихся физической культурой и спортом или 895 человек.</w:t>
      </w:r>
    </w:p>
    <w:p w:rsidR="003D76C6" w:rsidRPr="00DD252F" w:rsidRDefault="003D76C6" w:rsidP="003D76C6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2027 год:</w:t>
      </w:r>
    </w:p>
    <w:p w:rsidR="003D76C6" w:rsidRPr="00DD252F" w:rsidRDefault="003D76C6" w:rsidP="003D76C6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- 98,24 % доля детей и молодежи в возрасте 3-29 лет, систематически занимающихся физической культурой и спортом или 4163 человек.</w:t>
      </w:r>
    </w:p>
    <w:p w:rsidR="003D76C6" w:rsidRPr="00DD252F" w:rsidRDefault="003D76C6" w:rsidP="003D76C6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- 63,18 % доля граждан среднего возраста (женщины в возрасте 30-54 лет, мужчины в возрасте 30-59 лет), систематически занимающихся физической культурой и спортом или 2823 человек.</w:t>
      </w:r>
    </w:p>
    <w:p w:rsidR="00A3583C" w:rsidRPr="00DD252F" w:rsidRDefault="003D76C6" w:rsidP="003D76C6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- 24,40 % доля граждан старшего возраста (женщины в возрасте 55-79 лет, мужчины в возрасте 60-79 лет), систематически занимающихся физической культурой и спортом или 987 человек.</w:t>
      </w:r>
    </w:p>
    <w:p w:rsidR="00A3583C" w:rsidRPr="00DD252F" w:rsidRDefault="00A3583C" w:rsidP="00A3583C"/>
    <w:p w:rsidR="0039351F" w:rsidRPr="00DD252F" w:rsidRDefault="00575653" w:rsidP="0039351F">
      <w:pPr>
        <w:pStyle w:val="3"/>
        <w:spacing w:before="0"/>
        <w:ind w:firstLine="709"/>
        <w:jc w:val="left"/>
        <w:rPr>
          <w:rFonts w:ascii="Times New Roman" w:hAnsi="Times New Roman"/>
          <w:color w:val="auto"/>
          <w:sz w:val="28"/>
          <w:szCs w:val="28"/>
        </w:rPr>
      </w:pPr>
      <w:r w:rsidRPr="00DD252F">
        <w:rPr>
          <w:rFonts w:ascii="Times New Roman" w:hAnsi="Times New Roman"/>
          <w:color w:val="auto"/>
          <w:sz w:val="28"/>
          <w:szCs w:val="28"/>
        </w:rPr>
        <w:t>Культура</w:t>
      </w:r>
      <w:bookmarkStart w:id="8" w:name="_Toc209323016"/>
      <w:bookmarkEnd w:id="5"/>
      <w:bookmarkEnd w:id="6"/>
      <w:bookmarkEnd w:id="7"/>
    </w:p>
    <w:p w:rsidR="00277165" w:rsidRPr="00DD252F" w:rsidRDefault="00277165" w:rsidP="00277165"/>
    <w:p w:rsidR="00E277B3" w:rsidRPr="00DD252F" w:rsidRDefault="00E277B3" w:rsidP="00E277B3">
      <w:pPr>
        <w:ind w:firstLine="709"/>
        <w:rPr>
          <w:rFonts w:ascii="Times New Roman CYR" w:eastAsiaTheme="minorEastAsia" w:hAnsi="Times New Roman CYR" w:cs="Times New Roman CYR"/>
          <w:b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/>
          <w:sz w:val="28"/>
          <w:szCs w:val="28"/>
        </w:rPr>
        <w:t>Общедоступные библиотеки:</w:t>
      </w:r>
    </w:p>
    <w:p w:rsidR="004444C5" w:rsidRPr="00DD252F" w:rsidRDefault="00E277B3" w:rsidP="00C52F07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Количество общедоступных библиотек всех форм собственности в районе - 21. По оценке 2024</w:t>
      </w:r>
      <w:r w:rsidR="003131C3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года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и </w:t>
      </w:r>
      <w:r w:rsidR="00D60A51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в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прогнозном периоде 2025-2027 г</w:t>
      </w:r>
      <w:r w:rsidR="00527983" w:rsidRPr="00DD252F">
        <w:rPr>
          <w:rFonts w:ascii="Times New Roman CYR" w:eastAsiaTheme="minorEastAsia" w:hAnsi="Times New Roman CYR" w:cs="Times New Roman CYR"/>
          <w:sz w:val="28"/>
          <w:szCs w:val="28"/>
        </w:rPr>
        <w:t>г.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планируется общее количество библиотек 21, без изменения.</w:t>
      </w:r>
    </w:p>
    <w:p w:rsidR="004444C5" w:rsidRPr="00DD252F" w:rsidRDefault="004444C5" w:rsidP="00527983">
      <w:pPr>
        <w:ind w:firstLine="709"/>
        <w:rPr>
          <w:rFonts w:ascii="Times New Roman CYR" w:eastAsiaTheme="minorEastAsia" w:hAnsi="Times New Roman CYR" w:cs="Times New Roman CYR"/>
          <w:color w:val="000000"/>
          <w:sz w:val="28"/>
          <w:szCs w:val="28"/>
        </w:rPr>
      </w:pP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Количество общедоступных библиотек всех форм собственности, требующих капитального ремонта</w:t>
      </w:r>
      <w:r w:rsidR="00137FEF" w:rsidRPr="00DD252F">
        <w:rPr>
          <w:rFonts w:ascii="Times New Roman CYR" w:eastAsiaTheme="minorEastAsia" w:hAnsi="Times New Roman CYR" w:cs="Times New Roman CYR"/>
          <w:sz w:val="28"/>
          <w:szCs w:val="28"/>
        </w:rPr>
        <w:t>,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по оценке 2024 </w:t>
      </w:r>
      <w:r w:rsidR="00527983" w:rsidRPr="00DD252F">
        <w:rPr>
          <w:rFonts w:ascii="Times New Roman CYR" w:eastAsiaTheme="minorEastAsia" w:hAnsi="Times New Roman CYR" w:cs="Times New Roman CYR"/>
          <w:sz w:val="28"/>
          <w:szCs w:val="28"/>
        </w:rPr>
        <w:t>составит 3 ед. (</w:t>
      </w:r>
      <w:r w:rsidR="00527983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в селах Верхний Кужебар, Нижние </w:t>
      </w:r>
      <w:proofErr w:type="spellStart"/>
      <w:r w:rsidR="00527983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Куряты</w:t>
      </w:r>
      <w:proofErr w:type="spellEnd"/>
      <w:r w:rsidR="00527983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, Старая Копь).</w:t>
      </w:r>
      <w:proofErr w:type="gramEnd"/>
      <w:r w:rsidR="00527983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В прогнозируемом периоде 2025-2027 годах планируется снижение количества зданий, требующих </w:t>
      </w:r>
      <w:r w:rsidR="00A0787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капитальных </w:t>
      </w:r>
      <w:r w:rsidR="00527983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ремонтов</w:t>
      </w:r>
      <w:r w:rsidR="00A0787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. </w:t>
      </w:r>
      <w:proofErr w:type="gramStart"/>
      <w:r w:rsidR="00A0787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В 2025 году планируется провести капитальный ремонт библиотеки в с. Нижние </w:t>
      </w:r>
      <w:proofErr w:type="spellStart"/>
      <w:r w:rsidR="00A0787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Куряты</w:t>
      </w:r>
      <w:proofErr w:type="spellEnd"/>
      <w:r w:rsidR="00A0787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за счет средств местного бюджета.</w:t>
      </w:r>
      <w:proofErr w:type="gramEnd"/>
      <w:r w:rsidR="00A0787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В 2026 году планируется отремонтировать библиотеку в </w:t>
      </w:r>
      <w:proofErr w:type="gramStart"/>
      <w:r w:rsidR="00A0787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с</w:t>
      </w:r>
      <w:proofErr w:type="gramEnd"/>
      <w:r w:rsidR="00A0787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. Старая Копь за счет местного бюджета и в с. Верхний Кужебар </w:t>
      </w:r>
      <w:r w:rsidR="008E7396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за счет участия в государственной программе Красноярского края «Развитие культуры и туризма.</w:t>
      </w:r>
    </w:p>
    <w:p w:rsidR="00E277B3" w:rsidRPr="00DD252F" w:rsidRDefault="00E277B3" w:rsidP="00E277B3">
      <w:pPr>
        <w:ind w:firstLine="709"/>
        <w:rPr>
          <w:rFonts w:ascii="Times New Roman CYR" w:eastAsiaTheme="minorEastAsia" w:hAnsi="Times New Roman CYR" w:cs="Times New Roman CYR"/>
          <w:b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/>
          <w:sz w:val="28"/>
          <w:szCs w:val="28"/>
        </w:rPr>
        <w:lastRenderedPageBreak/>
        <w:t>Культурно-досуговая деятельность:</w:t>
      </w:r>
    </w:p>
    <w:p w:rsidR="00E277B3" w:rsidRPr="00DD252F" w:rsidRDefault="00E277B3" w:rsidP="00E277B3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Количество организаций культурно-досугового типа всех форм собственности </w:t>
      </w:r>
      <w:r w:rsidR="008E5886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по оценке 2024 года и в плановом периоде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оста</w:t>
      </w:r>
      <w:r w:rsidR="008E5886" w:rsidRPr="00DD252F">
        <w:rPr>
          <w:rFonts w:ascii="Times New Roman CYR" w:eastAsiaTheme="minorEastAsia" w:hAnsi="Times New Roman CYR" w:cs="Times New Roman CYR"/>
          <w:sz w:val="28"/>
          <w:szCs w:val="28"/>
        </w:rPr>
        <w:t>нется</w:t>
      </w:r>
      <w:r w:rsidR="002436C1">
        <w:rPr>
          <w:rFonts w:ascii="Times New Roman CYR" w:eastAsiaTheme="minorEastAsia" w:hAnsi="Times New Roman CYR" w:cs="Times New Roman CYR"/>
          <w:sz w:val="28"/>
          <w:szCs w:val="28"/>
        </w:rPr>
        <w:t xml:space="preserve"> на уровне 23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единиц</w:t>
      </w:r>
      <w:r w:rsidR="002436C1">
        <w:rPr>
          <w:rFonts w:ascii="Times New Roman CYR" w:eastAsiaTheme="minorEastAsia" w:hAnsi="Times New Roman CYR" w:cs="Times New Roman CYR"/>
          <w:sz w:val="28"/>
          <w:szCs w:val="28"/>
        </w:rPr>
        <w:t>ы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.</w:t>
      </w:r>
    </w:p>
    <w:p w:rsidR="00E277B3" w:rsidRDefault="00E277B3" w:rsidP="00E277B3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Количество ме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ст в зр</w:t>
      </w:r>
      <w:proofErr w:type="gram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ительных залах культурно-досугового типа  состав</w:t>
      </w:r>
      <w:r w:rsidR="008E5886" w:rsidRPr="00DD252F">
        <w:rPr>
          <w:rFonts w:ascii="Times New Roman CYR" w:eastAsiaTheme="minorEastAsia" w:hAnsi="Times New Roman CYR" w:cs="Times New Roman CYR"/>
          <w:sz w:val="28"/>
          <w:szCs w:val="28"/>
        </w:rPr>
        <w:t>ит по оценке 2024 года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687FDD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-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3504</w:t>
      </w:r>
      <w:r w:rsidR="008E5886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ед.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,  </w:t>
      </w:r>
      <w:r w:rsidR="008E5886" w:rsidRPr="00DD252F">
        <w:rPr>
          <w:rFonts w:ascii="Times New Roman CYR" w:eastAsiaTheme="minorEastAsia" w:hAnsi="Times New Roman CYR" w:cs="Times New Roman CYR"/>
          <w:sz w:val="28"/>
          <w:szCs w:val="28"/>
        </w:rPr>
        <w:t>в прогнозном периоде без изменений.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</w:p>
    <w:p w:rsidR="00527152" w:rsidRDefault="00527152" w:rsidP="00E277B3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527152">
        <w:rPr>
          <w:rFonts w:ascii="Times New Roman CYR" w:eastAsiaTheme="minorEastAsia" w:hAnsi="Times New Roman CYR" w:cs="Times New Roman CYR"/>
          <w:sz w:val="28"/>
          <w:szCs w:val="28"/>
        </w:rPr>
        <w:t>Уровень фактической обеспеченности клубами и учреждениями клубного типа от нормативн</w:t>
      </w:r>
      <w:r w:rsidR="00CF7236">
        <w:rPr>
          <w:rFonts w:ascii="Times New Roman CYR" w:eastAsiaTheme="minorEastAsia" w:hAnsi="Times New Roman CYR" w:cs="Times New Roman CYR"/>
          <w:sz w:val="28"/>
          <w:szCs w:val="28"/>
        </w:rPr>
        <w:t xml:space="preserve">ой потребности составляет 100%. </w:t>
      </w:r>
      <w:r w:rsidRPr="00527152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 и в прогнозном периоде 2025-2027 годов изменений не ожидается.</w:t>
      </w:r>
    </w:p>
    <w:p w:rsidR="00CF7236" w:rsidRDefault="007B4EBA" w:rsidP="00CF7236">
      <w:pPr>
        <w:ind w:firstLine="709"/>
        <w:rPr>
          <w:rFonts w:ascii="Times New Roman CYR" w:eastAsiaTheme="minorEastAsia" w:hAnsi="Times New Roman CYR" w:cs="Times New Roman CYR"/>
          <w:color w:val="000000"/>
          <w:sz w:val="28"/>
          <w:szCs w:val="28"/>
        </w:rPr>
      </w:pP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Количество учреждений культуры и искусства всех форм собственности, здания которых требуют капитального ремонта</w:t>
      </w:r>
      <w:r w:rsidR="00687FDD" w:rsidRPr="00DD252F">
        <w:rPr>
          <w:rFonts w:ascii="Times New Roman CYR" w:eastAsiaTheme="minorEastAsia" w:hAnsi="Times New Roman CYR" w:cs="Times New Roman CYR"/>
          <w:sz w:val="28"/>
          <w:szCs w:val="28"/>
        </w:rPr>
        <w:t>,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по оценке 2024 года </w:t>
      </w:r>
      <w:r w:rsidR="00687FDD" w:rsidRPr="00DD252F">
        <w:rPr>
          <w:rFonts w:ascii="Times New Roman CYR" w:eastAsiaTheme="minorEastAsia" w:hAnsi="Times New Roman CYR" w:cs="Times New Roman CYR"/>
          <w:sz w:val="28"/>
          <w:szCs w:val="28"/>
        </w:rPr>
        <w:t>составит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687FDD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- </w:t>
      </w:r>
      <w:r w:rsidR="001A2E62">
        <w:rPr>
          <w:rFonts w:ascii="Times New Roman CYR" w:eastAsiaTheme="minorEastAsia" w:hAnsi="Times New Roman CYR" w:cs="Times New Roman CYR"/>
          <w:sz w:val="28"/>
          <w:szCs w:val="28"/>
        </w:rPr>
        <w:t>5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ед.</w:t>
      </w:r>
      <w:r w:rsidR="00FA1825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(</w:t>
      </w:r>
      <w:r w:rsidR="00FA1825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из них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:</w:t>
      </w:r>
      <w:proofErr w:type="gramEnd"/>
      <w:r w:rsidR="00FA1825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 Таскинский </w:t>
      </w:r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СДК</w:t>
      </w:r>
      <w:r w:rsidR="00FA1825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,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Верхнекужебарский</w:t>
      </w:r>
      <w:proofErr w:type="spellEnd"/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СДК</w:t>
      </w:r>
      <w:r w:rsidR="00687FDD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, 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Таятский</w:t>
      </w:r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СДК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, </w:t>
      </w:r>
      <w:proofErr w:type="spellStart"/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Нижнекужебарский</w:t>
      </w:r>
      <w:proofErr w:type="spellEnd"/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СДК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, </w:t>
      </w:r>
      <w:proofErr w:type="spellStart"/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Уджейский</w:t>
      </w:r>
      <w:proofErr w:type="spellEnd"/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СДК</w:t>
      </w:r>
      <w:r w:rsidR="00FA1825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). В прогнозируемом периоде 2025-2027 </w:t>
      </w:r>
      <w:r w:rsidR="00687FDD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</w:t>
      </w:r>
      <w:r w:rsidR="00FA1825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годах планируется снижение количества зданий, требующих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капитальных</w:t>
      </w:r>
      <w:r w:rsidR="00FA1825" w:rsidRPr="00DD252F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ремонтов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за счет участия в государственной программе Красноярского края «Развитие культуры и туризма». В 2025 году планируется подать заявку на разработку ПСД на капитальный ремонт </w:t>
      </w:r>
      <w:proofErr w:type="spellStart"/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Таскинского</w:t>
      </w:r>
      <w:proofErr w:type="spellEnd"/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</w:t>
      </w:r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СДК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и провести капитальный</w:t>
      </w:r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ремонт в </w:t>
      </w:r>
      <w:proofErr w:type="spellStart"/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Нижнекужебарском</w:t>
      </w:r>
      <w:proofErr w:type="spellEnd"/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СДК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. В 2026 году планируется провести капитальный ремонт в </w:t>
      </w:r>
      <w:proofErr w:type="spellStart"/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Верхнекужебарском</w:t>
      </w:r>
      <w:proofErr w:type="spellEnd"/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</w:t>
      </w:r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СДК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. В 2027 году планируется подать заявку на разработку ПСД на капитальный ремонт </w:t>
      </w:r>
      <w:proofErr w:type="spellStart"/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Уджейского</w:t>
      </w:r>
      <w:proofErr w:type="spellEnd"/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 </w:t>
      </w:r>
      <w:r w:rsidR="001F1F38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СДК</w:t>
      </w:r>
      <w:r w:rsidR="001A2E62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.</w:t>
      </w:r>
    </w:p>
    <w:p w:rsidR="002436C1" w:rsidRDefault="002436C1" w:rsidP="00CF7236">
      <w:pPr>
        <w:ind w:firstLine="709"/>
        <w:rPr>
          <w:rFonts w:ascii="Times New Roman CYR" w:eastAsiaTheme="minorEastAsia" w:hAnsi="Times New Roman CYR" w:cs="Times New Roman CYR"/>
          <w:color w:val="000000"/>
          <w:sz w:val="28"/>
          <w:szCs w:val="28"/>
        </w:rPr>
      </w:pPr>
      <w:r w:rsidRPr="002436C1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Доля учреждений культуры муниципальной формы собственности, здания которых находятся в аварийном состоянии или требуют капитального ремонта, в общем количестве учреждений культуры муниципальной формы собственности по оценке 2024 года составит 18,18%. В 2025 году – 13,64%, в 2026 году – 6,82%, в 2027 году – 6,82%.</w:t>
      </w:r>
    </w:p>
    <w:p w:rsidR="00E277B3" w:rsidRPr="00DD252F" w:rsidRDefault="00E277B3" w:rsidP="00E277B3">
      <w:pPr>
        <w:ind w:firstLine="709"/>
        <w:rPr>
          <w:rFonts w:ascii="Times New Roman CYR" w:eastAsiaTheme="minorEastAsia" w:hAnsi="Times New Roman CYR" w:cs="Times New Roman CYR"/>
          <w:b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/>
          <w:sz w:val="28"/>
          <w:szCs w:val="28"/>
        </w:rPr>
        <w:t>Деятельность музея:</w:t>
      </w:r>
    </w:p>
    <w:p w:rsidR="00E277B3" w:rsidRPr="00DD252F" w:rsidRDefault="00E277B3" w:rsidP="00E277B3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В районе имеется 1 краеведческий музей с филиалом – сельской картинной галереей им. Ю.А. 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Бражникова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в</w:t>
      </w:r>
      <w:proofErr w:type="gram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с. </w:t>
      </w:r>
      <w:proofErr w:type="spell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Таскино</w:t>
      </w:r>
      <w:proofErr w:type="spell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. Экспозиционно-выставочная площадь музея  – 90,35, галереи – 103 кв. метра. Площадь под хранение фондов музея – 10,85, галереи -  65 кв. метров. </w:t>
      </w:r>
      <w:r w:rsidR="007B4EBA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 прогнозном периоде изменений не ожидается.</w:t>
      </w:r>
    </w:p>
    <w:p w:rsidR="00C23592" w:rsidRPr="00DD252F" w:rsidRDefault="00C23592" w:rsidP="00E277B3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Количество учреждений музейного типа всех форм собственности, требующих капитального ремонта, по оценке 2024 года и в прогнозном периоде</w:t>
      </w:r>
      <w:r w:rsidR="00F94C69">
        <w:rPr>
          <w:rFonts w:ascii="Times New Roman CYR" w:eastAsiaTheme="minorEastAsia" w:hAnsi="Times New Roman CYR" w:cs="Times New Roman CYR"/>
          <w:sz w:val="28"/>
          <w:szCs w:val="28"/>
        </w:rPr>
        <w:t xml:space="preserve"> 2025-2027 гг.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составит 0 ед.</w:t>
      </w:r>
    </w:p>
    <w:p w:rsidR="00E277B3" w:rsidRPr="00DD252F" w:rsidRDefault="00E277B3" w:rsidP="00E277B3">
      <w:pPr>
        <w:ind w:firstLine="708"/>
        <w:rPr>
          <w:rFonts w:ascii="Times New Roman CYR" w:eastAsiaTheme="minorEastAsia" w:hAnsi="Times New Roman CYR" w:cs="Times New Roman CYR"/>
          <w:b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b/>
          <w:sz w:val="28"/>
          <w:szCs w:val="28"/>
        </w:rPr>
        <w:t>Деятельность киноустановок:</w:t>
      </w:r>
    </w:p>
    <w:p w:rsidR="00E277B3" w:rsidRPr="00DD252F" w:rsidRDefault="00E277B3" w:rsidP="00E277B3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Количество киноустановок </w:t>
      </w:r>
      <w:r w:rsidR="008172B4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по оценке 2024 года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– 8</w:t>
      </w:r>
      <w:r w:rsidR="008172B4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ед.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,  </w:t>
      </w:r>
      <w:r w:rsidR="008172B4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в прогнозном периоде -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без изменения.</w:t>
      </w:r>
    </w:p>
    <w:p w:rsidR="00E277B3" w:rsidRPr="00DD252F" w:rsidRDefault="00E277B3" w:rsidP="00E277B3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Количество ме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ст в зр</w:t>
      </w:r>
      <w:proofErr w:type="gramEnd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ительных залах киноустановок муниципальной формы собственности состави</w:t>
      </w:r>
      <w:r w:rsidR="003131C3" w:rsidRPr="00DD252F">
        <w:rPr>
          <w:rFonts w:ascii="Times New Roman CYR" w:eastAsiaTheme="minorEastAsia" w:hAnsi="Times New Roman CYR" w:cs="Times New Roman CYR"/>
          <w:sz w:val="28"/>
          <w:szCs w:val="28"/>
        </w:rPr>
        <w:t>т в прогнозном периоде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1951</w:t>
      </w:r>
      <w:r w:rsidR="003131C3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ед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.</w:t>
      </w:r>
    </w:p>
    <w:p w:rsidR="00E277B3" w:rsidRPr="00DD252F" w:rsidRDefault="00E277B3" w:rsidP="00CF7236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В прогнозном периоде одним из направлений ме</w:t>
      </w:r>
      <w:r w:rsidR="00561C77">
        <w:rPr>
          <w:rFonts w:ascii="Times New Roman CYR" w:eastAsiaTheme="minorEastAsia" w:hAnsi="Times New Roman CYR" w:cs="Times New Roman CYR"/>
          <w:sz w:val="28"/>
          <w:szCs w:val="28"/>
        </w:rPr>
        <w:t>жмуниципальной кооперации южных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районов края является  развитие туристской отрасли, позиционирование района в совместн</w:t>
      </w:r>
      <w:r w:rsidR="00561C77">
        <w:rPr>
          <w:rFonts w:ascii="Times New Roman CYR" w:eastAsiaTheme="minorEastAsia" w:hAnsi="Times New Roman CYR" w:cs="Times New Roman CYR"/>
          <w:sz w:val="28"/>
          <w:szCs w:val="28"/>
        </w:rPr>
        <w:t xml:space="preserve">ом проекте по развитию туризма </w:t>
      </w:r>
      <w:r w:rsidR="00561C77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>ю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жных территорий края, создание единого  информационного сайта по предоставлению туристических услуг, развитию гостевого туризма, создание современной территориально-рекреационной системы, сочетающей рациональное использование природного, культурно-исторического потенциала с развитием туристской инфраструктуры южных районов.  </w:t>
      </w:r>
      <w:proofErr w:type="gramEnd"/>
    </w:p>
    <w:p w:rsidR="00277165" w:rsidRPr="00DD252F" w:rsidRDefault="00277165" w:rsidP="002D16DD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</w:p>
    <w:bookmarkEnd w:id="8"/>
    <w:p w:rsidR="00C177A5" w:rsidRPr="00DD252F" w:rsidRDefault="00C50842" w:rsidP="0006561E">
      <w:pPr>
        <w:pStyle w:val="2"/>
        <w:spacing w:before="0" w:after="0"/>
        <w:ind w:firstLine="709"/>
        <w:jc w:val="left"/>
        <w:rPr>
          <w:rFonts w:ascii="Times New Roman" w:hAnsi="Times New Roman" w:cs="Times New Roman"/>
          <w:i w:val="0"/>
        </w:rPr>
      </w:pPr>
      <w:r w:rsidRPr="00DD252F">
        <w:rPr>
          <w:rFonts w:ascii="Times New Roman" w:hAnsi="Times New Roman" w:cs="Times New Roman"/>
          <w:i w:val="0"/>
        </w:rPr>
        <w:t>Демографическая ситуация</w:t>
      </w:r>
    </w:p>
    <w:p w:rsidR="00E103DE" w:rsidRPr="00DD252F" w:rsidRDefault="00E103DE" w:rsidP="00E103DE"/>
    <w:p w:rsidR="00C50842" w:rsidRPr="00DD252F" w:rsidRDefault="00C50842" w:rsidP="00C50842">
      <w:pPr>
        <w:ind w:firstLine="697"/>
        <w:rPr>
          <w:rFonts w:eastAsiaTheme="minorEastAsia"/>
          <w:sz w:val="28"/>
          <w:szCs w:val="28"/>
        </w:rPr>
      </w:pPr>
      <w:bookmarkStart w:id="9" w:name="_Toc177304554"/>
      <w:bookmarkStart w:id="10" w:name="_Toc209323007"/>
      <w:r w:rsidRPr="00DD252F">
        <w:rPr>
          <w:rFonts w:eastAsiaTheme="minorEastAsia"/>
          <w:sz w:val="28"/>
          <w:szCs w:val="28"/>
        </w:rPr>
        <w:t xml:space="preserve">Демографическая ситуация в Каратузском районе на протяжении нескольких лет  характеризуется снижением общей численности населения. </w:t>
      </w:r>
    </w:p>
    <w:p w:rsidR="00C50842" w:rsidRPr="00DD252F" w:rsidRDefault="00C50842" w:rsidP="00C50842">
      <w:pPr>
        <w:ind w:firstLine="697"/>
        <w:rPr>
          <w:rFonts w:eastAsiaTheme="minorEastAsia"/>
          <w:sz w:val="28"/>
          <w:szCs w:val="28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417"/>
        <w:gridCol w:w="1701"/>
        <w:gridCol w:w="1560"/>
        <w:gridCol w:w="1559"/>
        <w:gridCol w:w="1559"/>
      </w:tblGrid>
      <w:tr w:rsidR="00FA095F" w:rsidRPr="00DD252F" w:rsidTr="002F272B">
        <w:trPr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Наименование показателя</w:t>
            </w:r>
          </w:p>
          <w:p w:rsidR="00FA095F" w:rsidRPr="00DD252F" w:rsidRDefault="00FA095F" w:rsidP="00C50842">
            <w:pPr>
              <w:autoSpaceDE w:val="0"/>
              <w:autoSpaceDN w:val="0"/>
              <w:adjustRightInd w:val="0"/>
              <w:ind w:left="-288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FA095F" w:rsidRPr="00DD252F" w:rsidRDefault="00FA095F" w:rsidP="00C50842">
            <w:pPr>
              <w:autoSpaceDE w:val="0"/>
              <w:autoSpaceDN w:val="0"/>
              <w:adjustRightInd w:val="0"/>
              <w:ind w:left="90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Един.</w:t>
            </w:r>
          </w:p>
          <w:p w:rsidR="00FA095F" w:rsidRPr="00DD252F" w:rsidRDefault="00FA095F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измерения</w:t>
            </w:r>
          </w:p>
          <w:p w:rsidR="00FA095F" w:rsidRPr="00DD252F" w:rsidRDefault="00FA095F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095F" w:rsidRPr="00DD252F" w:rsidRDefault="002F272B">
            <w:pPr>
              <w:spacing w:after="200" w:line="276" w:lineRule="auto"/>
              <w:jc w:val="left"/>
              <w:rPr>
                <w:rFonts w:eastAsiaTheme="minorEastAsia"/>
              </w:rPr>
            </w:pPr>
            <w:r w:rsidRPr="00DD252F">
              <w:rPr>
                <w:rFonts w:eastAsiaTheme="minorEastAsia"/>
              </w:rPr>
              <w:t>Годы</w:t>
            </w:r>
          </w:p>
        </w:tc>
      </w:tr>
      <w:tr w:rsidR="00FA095F" w:rsidRPr="00DD252F" w:rsidTr="002F272B">
        <w:trPr>
          <w:trHeight w:val="1200"/>
        </w:trPr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ind w:left="90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2024</w:t>
            </w:r>
          </w:p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оценка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2025</w:t>
            </w:r>
          </w:p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прогноз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2026</w:t>
            </w:r>
          </w:p>
          <w:p w:rsidR="00FA095F" w:rsidRPr="00DD252F" w:rsidRDefault="00FA095F" w:rsidP="00C50842">
            <w:pPr>
              <w:autoSpaceDE w:val="0"/>
              <w:autoSpaceDN w:val="0"/>
              <w:adjustRightInd w:val="0"/>
              <w:ind w:left="-43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прогноз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2027</w:t>
            </w:r>
          </w:p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прогноз</w:t>
            </w:r>
          </w:p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</w:tr>
      <w:tr w:rsidR="00FA095F" w:rsidRPr="00DD252F" w:rsidTr="002F272B">
        <w:trPr>
          <w:trHeight w:val="255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ind w:left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Численность постоянного населения (среднегодовая)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8A1752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lang w:eastAsia="en-US"/>
              </w:rPr>
              <w:t>ч</w:t>
            </w:r>
            <w:r w:rsidR="00FA095F"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ел</w:t>
            </w:r>
            <w:r>
              <w:rPr>
                <w:rFonts w:ascii="Times New Roman CYR" w:eastAsiaTheme="minorEastAsia" w:hAnsi="Times New Roman CYR" w:cs="Times New Roman CYR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13035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12791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12548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12315</w:t>
            </w:r>
          </w:p>
        </w:tc>
      </w:tr>
      <w:tr w:rsidR="00FA095F" w:rsidRPr="00DD252F" w:rsidTr="002F272B">
        <w:trPr>
          <w:trHeight w:val="255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ind w:left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Численность постоянного населения, на начало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8A1752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lang w:eastAsia="en-US"/>
              </w:rPr>
              <w:t>ч</w:t>
            </w:r>
            <w:r w:rsidR="00FA095F"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ел</w:t>
            </w:r>
            <w:r>
              <w:rPr>
                <w:rFonts w:ascii="Times New Roman CYR" w:eastAsiaTheme="minorEastAsia" w:hAnsi="Times New Roman CYR" w:cs="Times New Roman CYR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13157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12913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12669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12427</w:t>
            </w:r>
          </w:p>
        </w:tc>
      </w:tr>
      <w:tr w:rsidR="00FA095F" w:rsidRPr="00DD252F" w:rsidTr="002F272B">
        <w:trPr>
          <w:trHeight w:val="255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ind w:left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Численность населения в трудоспособном возрасте, в среднем за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8A1752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lang w:eastAsia="en-US"/>
              </w:rPr>
              <w:t>ч</w:t>
            </w:r>
            <w:r w:rsidR="00FA095F"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ел</w:t>
            </w:r>
            <w:r>
              <w:rPr>
                <w:rFonts w:ascii="Times New Roman CYR" w:eastAsiaTheme="minorEastAsia" w:hAnsi="Times New Roman CYR" w:cs="Times New Roman CYR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6457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6458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6452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6468</w:t>
            </w:r>
          </w:p>
        </w:tc>
      </w:tr>
      <w:tr w:rsidR="00FA095F" w:rsidRPr="00DD252F" w:rsidTr="002F272B">
        <w:trPr>
          <w:trHeight w:val="255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ind w:left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Естественный прирост</w:t>
            </w:r>
            <w:proofErr w:type="gramStart"/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 xml:space="preserve"> (+), </w:t>
            </w:r>
            <w:proofErr w:type="gramEnd"/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убыль (-)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FA095F" w:rsidRPr="00DD252F" w:rsidRDefault="008A1752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lang w:eastAsia="en-US"/>
              </w:rPr>
              <w:t>ч</w:t>
            </w:r>
            <w:r w:rsidR="00FA095F"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ел</w:t>
            </w:r>
            <w:r>
              <w:rPr>
                <w:rFonts w:ascii="Times New Roman CYR" w:eastAsiaTheme="minorEastAsia" w:hAnsi="Times New Roman CYR" w:cs="Times New Roman CYR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-138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-132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-126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-120</w:t>
            </w:r>
          </w:p>
        </w:tc>
      </w:tr>
      <w:tr w:rsidR="00FA095F" w:rsidRPr="00DD252F" w:rsidTr="002F272B">
        <w:trPr>
          <w:trHeight w:val="255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ind w:left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Миграционный прирост (снижение)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FA095F" w:rsidRPr="00DD252F" w:rsidRDefault="008A1752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lang w:eastAsia="en-US"/>
              </w:rPr>
              <w:t>ч</w:t>
            </w:r>
            <w:r w:rsidR="00FA095F"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ел</w:t>
            </w:r>
            <w:r>
              <w:rPr>
                <w:rFonts w:ascii="Times New Roman CYR" w:eastAsiaTheme="minorEastAsia" w:hAnsi="Times New Roman CYR" w:cs="Times New Roman CYR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-106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-112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-116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-105</w:t>
            </w:r>
          </w:p>
        </w:tc>
      </w:tr>
      <w:tr w:rsidR="00FA095F" w:rsidRPr="00DD252F" w:rsidTr="002F272B">
        <w:trPr>
          <w:trHeight w:val="255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ind w:left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 xml:space="preserve">Количество </w:t>
            </w:r>
            <w:proofErr w:type="gramStart"/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родившихся</w:t>
            </w:r>
            <w:proofErr w:type="gramEnd"/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 xml:space="preserve"> за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8A1752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lang w:eastAsia="en-US"/>
              </w:rPr>
              <w:t>ч</w:t>
            </w:r>
            <w:r w:rsidR="00FA095F"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ел</w:t>
            </w:r>
            <w:r>
              <w:rPr>
                <w:rFonts w:ascii="Times New Roman CYR" w:eastAsiaTheme="minorEastAsia" w:hAnsi="Times New Roman CYR" w:cs="Times New Roman CYR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122</w:t>
            </w:r>
          </w:p>
        </w:tc>
      </w:tr>
      <w:tr w:rsidR="00FA095F" w:rsidRPr="00DD252F" w:rsidTr="002F272B">
        <w:trPr>
          <w:trHeight w:val="255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ind w:left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 xml:space="preserve">Количество </w:t>
            </w:r>
            <w:proofErr w:type="gramStart"/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умерших</w:t>
            </w:r>
            <w:proofErr w:type="gramEnd"/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 xml:space="preserve"> за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F" w:rsidRPr="00DD252F" w:rsidRDefault="008A1752" w:rsidP="00C50842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lang w:eastAsia="en-US"/>
              </w:rPr>
              <w:t>ч</w:t>
            </w:r>
            <w:r w:rsidR="00FA095F"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ел</w:t>
            </w:r>
            <w:r>
              <w:rPr>
                <w:rFonts w:ascii="Times New Roman CYR" w:eastAsiaTheme="minorEastAsia" w:hAnsi="Times New Roman CYR" w:cs="Times New Roman CYR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95F" w:rsidRPr="00DD252F" w:rsidRDefault="00FA095F" w:rsidP="00C50842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242</w:t>
            </w:r>
          </w:p>
        </w:tc>
      </w:tr>
    </w:tbl>
    <w:p w:rsidR="00C50842" w:rsidRPr="00DD252F" w:rsidRDefault="00C50842" w:rsidP="00C50842">
      <w:pPr>
        <w:ind w:firstLine="709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0E4C3B" w:rsidRPr="00DD252F" w:rsidRDefault="000E4C3B" w:rsidP="00C50842">
      <w:pPr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По оценке 2024 года среднегодовая численность населения составит 13035 человек. В прогнозируемом периоде ожидается снижение среднегодовой численности постоянного населения по причине естественной убыли населения и миграционного оттока населения. 2025 год – 12791 человек, 2026 год – 12548 человек, 2027 год – 12315 человек и темп роста к оценке 2024 года составит 94,48% (снижение на 720 человек).</w:t>
      </w:r>
    </w:p>
    <w:p w:rsidR="00305005" w:rsidRPr="00DD252F" w:rsidRDefault="00C50842" w:rsidP="00C50842">
      <w:pPr>
        <w:ind w:firstLine="700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Численность населения в трудоспособном возрасте </w:t>
      </w:r>
      <w:r w:rsidR="00305005" w:rsidRPr="00DD252F">
        <w:rPr>
          <w:rFonts w:eastAsiaTheme="minorEastAsia"/>
          <w:sz w:val="28"/>
          <w:szCs w:val="28"/>
        </w:rPr>
        <w:t xml:space="preserve">по оценке 2024 года составит 6457 человек. На 2025-2027 планируется рост к оценке 2024 года на </w:t>
      </w:r>
      <w:r w:rsidR="007E1FAB" w:rsidRPr="00DD252F">
        <w:rPr>
          <w:rFonts w:eastAsiaTheme="minorEastAsia"/>
          <w:sz w:val="28"/>
          <w:szCs w:val="28"/>
        </w:rPr>
        <w:t>11 человек (2025 год – 6458 человек, 2026 год – 6452 человек, 2027 год – 6468 человек).</w:t>
      </w:r>
    </w:p>
    <w:p w:rsidR="00C50842" w:rsidRPr="00DD252F" w:rsidRDefault="007E1FAB" w:rsidP="00C50842">
      <w:pPr>
        <w:keepNext/>
        <w:ind w:firstLine="709"/>
        <w:outlineLvl w:val="1"/>
        <w:rPr>
          <w:rFonts w:eastAsiaTheme="minorEastAsia"/>
          <w:bCs/>
          <w:iCs/>
          <w:sz w:val="28"/>
          <w:szCs w:val="28"/>
        </w:rPr>
      </w:pPr>
      <w:r w:rsidRPr="00DD252F">
        <w:rPr>
          <w:rFonts w:eastAsiaTheme="minorEastAsia"/>
          <w:bCs/>
          <w:iCs/>
          <w:sz w:val="28"/>
          <w:szCs w:val="28"/>
        </w:rPr>
        <w:t>П</w:t>
      </w:r>
      <w:r w:rsidR="00C50842" w:rsidRPr="00DD252F">
        <w:rPr>
          <w:rFonts w:eastAsiaTheme="minorEastAsia"/>
          <w:bCs/>
          <w:iCs/>
          <w:sz w:val="28"/>
          <w:szCs w:val="28"/>
        </w:rPr>
        <w:t>о оценке 2024 года ожидается</w:t>
      </w:r>
      <w:r w:rsidRPr="00DD252F">
        <w:rPr>
          <w:rFonts w:eastAsiaTheme="minorEastAsia"/>
          <w:bCs/>
          <w:iCs/>
          <w:sz w:val="28"/>
          <w:szCs w:val="28"/>
        </w:rPr>
        <w:t xml:space="preserve"> родившихся</w:t>
      </w:r>
      <w:r w:rsidR="00C50842" w:rsidRPr="00DD252F">
        <w:rPr>
          <w:rFonts w:eastAsiaTheme="minorEastAsia"/>
          <w:bCs/>
          <w:iCs/>
          <w:sz w:val="28"/>
          <w:szCs w:val="28"/>
        </w:rPr>
        <w:t xml:space="preserve"> 119 детей, в прогнозируемом периоде 2025-2027 годах планируется </w:t>
      </w:r>
      <w:r w:rsidRPr="00DD252F">
        <w:rPr>
          <w:rFonts w:eastAsiaTheme="minorEastAsia"/>
          <w:bCs/>
          <w:iCs/>
          <w:sz w:val="28"/>
          <w:szCs w:val="28"/>
        </w:rPr>
        <w:t>увеличение</w:t>
      </w:r>
      <w:r w:rsidR="00C50842" w:rsidRPr="00DD252F">
        <w:rPr>
          <w:rFonts w:eastAsiaTheme="minorEastAsia"/>
          <w:bCs/>
          <w:iCs/>
          <w:sz w:val="28"/>
          <w:szCs w:val="28"/>
        </w:rPr>
        <w:t xml:space="preserve"> на </w:t>
      </w:r>
      <w:r w:rsidRPr="00DD252F">
        <w:rPr>
          <w:rFonts w:eastAsiaTheme="minorEastAsia"/>
          <w:bCs/>
          <w:iCs/>
          <w:sz w:val="28"/>
          <w:szCs w:val="28"/>
        </w:rPr>
        <w:t>3</w:t>
      </w:r>
      <w:r w:rsidR="00C50842" w:rsidRPr="00DD252F">
        <w:rPr>
          <w:rFonts w:eastAsiaTheme="minorEastAsia"/>
          <w:bCs/>
          <w:iCs/>
          <w:sz w:val="28"/>
          <w:szCs w:val="28"/>
        </w:rPr>
        <w:t xml:space="preserve"> человек</w:t>
      </w:r>
      <w:r w:rsidRPr="00DD252F">
        <w:rPr>
          <w:rFonts w:eastAsiaTheme="minorEastAsia"/>
          <w:bCs/>
          <w:iCs/>
          <w:sz w:val="28"/>
          <w:szCs w:val="28"/>
        </w:rPr>
        <w:t>а</w:t>
      </w:r>
      <w:r w:rsidR="00C50842" w:rsidRPr="00DD252F">
        <w:rPr>
          <w:rFonts w:eastAsiaTheme="minorEastAsia"/>
          <w:bCs/>
          <w:iCs/>
          <w:sz w:val="28"/>
          <w:szCs w:val="28"/>
        </w:rPr>
        <w:t xml:space="preserve"> к </w:t>
      </w:r>
      <w:r w:rsidRPr="00DD252F">
        <w:rPr>
          <w:rFonts w:eastAsiaTheme="minorEastAsia"/>
          <w:bCs/>
          <w:iCs/>
          <w:sz w:val="28"/>
          <w:szCs w:val="28"/>
        </w:rPr>
        <w:t>оценке 2024 года</w:t>
      </w:r>
      <w:r w:rsidR="00C50842" w:rsidRPr="00DD252F">
        <w:rPr>
          <w:rFonts w:eastAsiaTheme="minorEastAsia"/>
          <w:bCs/>
          <w:iCs/>
          <w:sz w:val="28"/>
          <w:szCs w:val="28"/>
        </w:rPr>
        <w:t xml:space="preserve"> и составит</w:t>
      </w:r>
      <w:r w:rsidRPr="00DD252F">
        <w:rPr>
          <w:rFonts w:eastAsiaTheme="minorEastAsia"/>
          <w:bCs/>
          <w:iCs/>
          <w:sz w:val="28"/>
          <w:szCs w:val="28"/>
        </w:rPr>
        <w:t xml:space="preserve">: 2025 год – 120 человек, 2026 год – </w:t>
      </w:r>
      <w:r w:rsidRPr="00DD252F">
        <w:rPr>
          <w:rFonts w:eastAsiaTheme="minorEastAsia"/>
          <w:bCs/>
          <w:iCs/>
          <w:sz w:val="28"/>
          <w:szCs w:val="28"/>
        </w:rPr>
        <w:lastRenderedPageBreak/>
        <w:t>121 человек, 2027 год – 122 человека</w:t>
      </w:r>
      <w:r w:rsidR="00C50842" w:rsidRPr="00DD252F">
        <w:rPr>
          <w:rFonts w:eastAsiaTheme="minorEastAsia"/>
          <w:bCs/>
          <w:iCs/>
          <w:sz w:val="28"/>
          <w:szCs w:val="28"/>
        </w:rPr>
        <w:t xml:space="preserve">. Численность умерших </w:t>
      </w:r>
      <w:r w:rsidRPr="00DD252F">
        <w:rPr>
          <w:rFonts w:eastAsiaTheme="minorEastAsia"/>
          <w:bCs/>
          <w:iCs/>
          <w:sz w:val="28"/>
          <w:szCs w:val="28"/>
        </w:rPr>
        <w:t>по оценке 2024 года</w:t>
      </w:r>
      <w:r w:rsidR="00C50842" w:rsidRPr="00DD252F">
        <w:rPr>
          <w:rFonts w:eastAsiaTheme="minorEastAsia"/>
          <w:bCs/>
          <w:iCs/>
          <w:sz w:val="28"/>
          <w:szCs w:val="28"/>
        </w:rPr>
        <w:t xml:space="preserve"> состави</w:t>
      </w:r>
      <w:r w:rsidRPr="00DD252F">
        <w:rPr>
          <w:rFonts w:eastAsiaTheme="minorEastAsia"/>
          <w:bCs/>
          <w:iCs/>
          <w:sz w:val="28"/>
          <w:szCs w:val="28"/>
        </w:rPr>
        <w:t>т</w:t>
      </w:r>
      <w:r w:rsidR="00C50842" w:rsidRPr="00DD252F">
        <w:rPr>
          <w:rFonts w:eastAsiaTheme="minorEastAsia"/>
          <w:bCs/>
          <w:iCs/>
          <w:sz w:val="28"/>
          <w:szCs w:val="28"/>
        </w:rPr>
        <w:t xml:space="preserve"> 2</w:t>
      </w:r>
      <w:r w:rsidRPr="00DD252F">
        <w:rPr>
          <w:rFonts w:eastAsiaTheme="minorEastAsia"/>
          <w:bCs/>
          <w:iCs/>
          <w:sz w:val="28"/>
          <w:szCs w:val="28"/>
        </w:rPr>
        <w:t>57 человек</w:t>
      </w:r>
      <w:r w:rsidR="00C50842" w:rsidRPr="00DD252F">
        <w:rPr>
          <w:rFonts w:eastAsiaTheme="minorEastAsia"/>
          <w:bCs/>
          <w:iCs/>
          <w:sz w:val="28"/>
          <w:szCs w:val="28"/>
        </w:rPr>
        <w:t xml:space="preserve">. К 2027 году ожидается уменьшение умерших на </w:t>
      </w:r>
      <w:r w:rsidRPr="00DD252F">
        <w:rPr>
          <w:rFonts w:eastAsiaTheme="minorEastAsia"/>
          <w:bCs/>
          <w:iCs/>
          <w:sz w:val="28"/>
          <w:szCs w:val="28"/>
        </w:rPr>
        <w:t>15 человек (2025 год – 252 человека, 2026 год – 247 человек, 2027 год – 242 человека).</w:t>
      </w:r>
    </w:p>
    <w:p w:rsidR="00C50842" w:rsidRPr="00DD252F" w:rsidRDefault="00C50842" w:rsidP="00C50842">
      <w:pPr>
        <w:keepNext/>
        <w:ind w:firstLine="709"/>
        <w:outlineLvl w:val="1"/>
        <w:rPr>
          <w:rFonts w:eastAsiaTheme="minorEastAsia"/>
          <w:bCs/>
          <w:iCs/>
          <w:sz w:val="28"/>
          <w:szCs w:val="28"/>
        </w:rPr>
      </w:pPr>
      <w:r w:rsidRPr="00DD252F">
        <w:rPr>
          <w:rFonts w:eastAsiaTheme="minorEastAsia"/>
          <w:bCs/>
          <w:iCs/>
          <w:sz w:val="28"/>
          <w:szCs w:val="28"/>
        </w:rPr>
        <w:t xml:space="preserve">По </w:t>
      </w:r>
      <w:r w:rsidR="00D24D99" w:rsidRPr="00DD252F">
        <w:rPr>
          <w:rFonts w:eastAsiaTheme="minorEastAsia"/>
          <w:bCs/>
          <w:iCs/>
          <w:sz w:val="28"/>
          <w:szCs w:val="28"/>
        </w:rPr>
        <w:t>оценке 2024</w:t>
      </w:r>
      <w:r w:rsidRPr="00DD252F">
        <w:rPr>
          <w:rFonts w:eastAsiaTheme="minorEastAsia"/>
          <w:bCs/>
          <w:iCs/>
          <w:sz w:val="28"/>
          <w:szCs w:val="28"/>
        </w:rPr>
        <w:t xml:space="preserve"> года коэффициент естественного прироста на 1 тыс. человек населения состави</w:t>
      </w:r>
      <w:r w:rsidR="00D24D99" w:rsidRPr="00DD252F">
        <w:rPr>
          <w:rFonts w:eastAsiaTheme="minorEastAsia"/>
          <w:bCs/>
          <w:iCs/>
          <w:sz w:val="28"/>
          <w:szCs w:val="28"/>
        </w:rPr>
        <w:t>т минус 10,59</w:t>
      </w:r>
      <w:r w:rsidRPr="00DD252F">
        <w:rPr>
          <w:rFonts w:eastAsiaTheme="minorEastAsia"/>
          <w:bCs/>
          <w:iCs/>
          <w:sz w:val="28"/>
          <w:szCs w:val="28"/>
        </w:rPr>
        <w:t xml:space="preserve"> чел</w:t>
      </w:r>
      <w:r w:rsidR="00D24D99" w:rsidRPr="00DD252F">
        <w:rPr>
          <w:rFonts w:eastAsiaTheme="minorEastAsia"/>
          <w:bCs/>
          <w:iCs/>
          <w:sz w:val="28"/>
          <w:szCs w:val="28"/>
        </w:rPr>
        <w:t>., в прогнозном периоде 2025-2027 гг. будет</w:t>
      </w:r>
      <w:r w:rsidRPr="00DD252F">
        <w:rPr>
          <w:rFonts w:eastAsiaTheme="minorEastAsia"/>
          <w:bCs/>
          <w:iCs/>
          <w:sz w:val="28"/>
          <w:szCs w:val="28"/>
        </w:rPr>
        <w:t xml:space="preserve"> наблюда</w:t>
      </w:r>
      <w:r w:rsidR="00D24D99" w:rsidRPr="00DD252F">
        <w:rPr>
          <w:rFonts w:eastAsiaTheme="minorEastAsia"/>
          <w:bCs/>
          <w:iCs/>
          <w:sz w:val="28"/>
          <w:szCs w:val="28"/>
        </w:rPr>
        <w:t>ться</w:t>
      </w:r>
      <w:r w:rsidRPr="00DD252F">
        <w:rPr>
          <w:rFonts w:eastAsiaTheme="minorEastAsia"/>
          <w:bCs/>
          <w:iCs/>
          <w:sz w:val="28"/>
          <w:szCs w:val="28"/>
        </w:rPr>
        <w:t xml:space="preserve"> положительная динамика по отношению к </w:t>
      </w:r>
      <w:r w:rsidR="00D24D99" w:rsidRPr="00DD252F">
        <w:rPr>
          <w:rFonts w:eastAsiaTheme="minorEastAsia"/>
          <w:bCs/>
          <w:iCs/>
          <w:sz w:val="28"/>
          <w:szCs w:val="28"/>
        </w:rPr>
        <w:t>оценке 2024 года</w:t>
      </w:r>
      <w:r w:rsidRPr="00DD252F">
        <w:rPr>
          <w:rFonts w:eastAsiaTheme="minorEastAsia"/>
          <w:bCs/>
          <w:iCs/>
          <w:sz w:val="28"/>
          <w:szCs w:val="28"/>
        </w:rPr>
        <w:t xml:space="preserve">. </w:t>
      </w:r>
      <w:r w:rsidR="00D24D99" w:rsidRPr="00DD252F">
        <w:rPr>
          <w:rFonts w:eastAsiaTheme="minorEastAsia"/>
          <w:bCs/>
          <w:iCs/>
          <w:sz w:val="28"/>
          <w:szCs w:val="28"/>
        </w:rPr>
        <w:t>Прогноз на 2025 год</w:t>
      </w:r>
      <w:r w:rsidRPr="00DD252F">
        <w:rPr>
          <w:rFonts w:eastAsiaTheme="minorEastAsia"/>
          <w:bCs/>
          <w:iCs/>
          <w:sz w:val="28"/>
          <w:szCs w:val="28"/>
        </w:rPr>
        <w:t xml:space="preserve"> предполагает </w:t>
      </w:r>
      <w:r w:rsidR="00D24D99" w:rsidRPr="00DD252F">
        <w:rPr>
          <w:rFonts w:eastAsiaTheme="minorEastAsia"/>
          <w:bCs/>
          <w:iCs/>
          <w:sz w:val="28"/>
          <w:szCs w:val="28"/>
        </w:rPr>
        <w:t>увеличение</w:t>
      </w:r>
      <w:r w:rsidRPr="00DD252F">
        <w:rPr>
          <w:rFonts w:eastAsiaTheme="minorEastAsia"/>
          <w:bCs/>
          <w:iCs/>
          <w:sz w:val="28"/>
          <w:szCs w:val="28"/>
        </w:rPr>
        <w:t xml:space="preserve">  коэффициента естественного п</w:t>
      </w:r>
      <w:r w:rsidR="00D24D99" w:rsidRPr="00DD252F">
        <w:rPr>
          <w:rFonts w:eastAsiaTheme="minorEastAsia"/>
          <w:bCs/>
          <w:iCs/>
          <w:sz w:val="28"/>
          <w:szCs w:val="28"/>
        </w:rPr>
        <w:t xml:space="preserve">рироста населения </w:t>
      </w:r>
      <w:proofErr w:type="gramStart"/>
      <w:r w:rsidR="00D24D99" w:rsidRPr="00DD252F">
        <w:rPr>
          <w:rFonts w:eastAsiaTheme="minorEastAsia"/>
          <w:bCs/>
          <w:iCs/>
          <w:sz w:val="28"/>
          <w:szCs w:val="28"/>
        </w:rPr>
        <w:t>до</w:t>
      </w:r>
      <w:proofErr w:type="gramEnd"/>
      <w:r w:rsidR="00D24D99" w:rsidRPr="00DD252F">
        <w:rPr>
          <w:rFonts w:eastAsiaTheme="minorEastAsia"/>
          <w:bCs/>
          <w:iCs/>
          <w:sz w:val="28"/>
          <w:szCs w:val="28"/>
        </w:rPr>
        <w:t xml:space="preserve"> </w:t>
      </w:r>
      <w:proofErr w:type="gramStart"/>
      <w:r w:rsidR="00D24D99" w:rsidRPr="00DD252F">
        <w:rPr>
          <w:rFonts w:eastAsiaTheme="minorEastAsia"/>
          <w:bCs/>
          <w:iCs/>
          <w:sz w:val="28"/>
          <w:szCs w:val="28"/>
        </w:rPr>
        <w:t>минус</w:t>
      </w:r>
      <w:proofErr w:type="gramEnd"/>
      <w:r w:rsidR="00D24D99" w:rsidRPr="00DD252F">
        <w:rPr>
          <w:rFonts w:eastAsiaTheme="minorEastAsia"/>
          <w:bCs/>
          <w:iCs/>
          <w:sz w:val="28"/>
          <w:szCs w:val="28"/>
        </w:rPr>
        <w:t xml:space="preserve"> 10,32</w:t>
      </w:r>
      <w:r w:rsidRPr="00DD252F">
        <w:rPr>
          <w:rFonts w:eastAsiaTheme="minorEastAsia"/>
          <w:bCs/>
          <w:iCs/>
          <w:sz w:val="28"/>
          <w:szCs w:val="28"/>
        </w:rPr>
        <w:t xml:space="preserve"> чел., </w:t>
      </w:r>
      <w:r w:rsidR="00D24D99" w:rsidRPr="00DD252F">
        <w:rPr>
          <w:rFonts w:eastAsiaTheme="minorEastAsia"/>
          <w:bCs/>
          <w:iCs/>
          <w:sz w:val="28"/>
          <w:szCs w:val="28"/>
        </w:rPr>
        <w:t>на 2026 год – до минус 10,04 чел., на 2027 год – до минус 9,74 чел.</w:t>
      </w:r>
    </w:p>
    <w:p w:rsidR="00E8606A" w:rsidRPr="00DD252F" w:rsidRDefault="00696A2D" w:rsidP="00C50842">
      <w:pPr>
        <w:pStyle w:val="2"/>
        <w:spacing w:before="0" w:after="0"/>
        <w:ind w:firstLine="709"/>
        <w:rPr>
          <w:rFonts w:ascii="Times New Roman" w:hAnsi="Times New Roman" w:cs="Times New Roman"/>
          <w:b w:val="0"/>
          <w:i w:val="0"/>
        </w:rPr>
      </w:pPr>
      <w:r w:rsidRPr="00DD252F">
        <w:rPr>
          <w:rFonts w:ascii="Times New Roman" w:eastAsiaTheme="minorEastAsia" w:hAnsi="Times New Roman" w:cs="Times New Roman"/>
          <w:b w:val="0"/>
          <w:i w:val="0"/>
        </w:rPr>
        <w:t>По оценке 2024 года м</w:t>
      </w:r>
      <w:r w:rsidR="00C50842" w:rsidRPr="00DD252F">
        <w:rPr>
          <w:rFonts w:ascii="Times New Roman" w:eastAsiaTheme="minorEastAsia" w:hAnsi="Times New Roman" w:cs="Times New Roman"/>
          <w:b w:val="0"/>
          <w:i w:val="0"/>
        </w:rPr>
        <w:t>играционная убыль населения состави</w:t>
      </w:r>
      <w:r w:rsidRPr="00DD252F">
        <w:rPr>
          <w:rFonts w:ascii="Times New Roman" w:eastAsiaTheme="minorEastAsia" w:hAnsi="Times New Roman" w:cs="Times New Roman"/>
          <w:b w:val="0"/>
          <w:i w:val="0"/>
        </w:rPr>
        <w:t>т</w:t>
      </w:r>
      <w:r w:rsidR="00C50842" w:rsidRPr="00DD252F">
        <w:rPr>
          <w:rFonts w:ascii="Times New Roman" w:eastAsiaTheme="minorEastAsia" w:hAnsi="Times New Roman" w:cs="Times New Roman"/>
          <w:b w:val="0"/>
          <w:i w:val="0"/>
        </w:rPr>
        <w:t xml:space="preserve"> </w:t>
      </w:r>
      <w:r w:rsidRPr="00DD252F">
        <w:rPr>
          <w:rFonts w:ascii="Times New Roman" w:eastAsiaTheme="minorEastAsia" w:hAnsi="Times New Roman" w:cs="Times New Roman"/>
          <w:b w:val="0"/>
          <w:i w:val="0"/>
        </w:rPr>
        <w:t>106 человек. В</w:t>
      </w:r>
      <w:r w:rsidR="00C50842" w:rsidRPr="00DD252F">
        <w:rPr>
          <w:rFonts w:ascii="Times New Roman" w:eastAsiaTheme="minorEastAsia" w:hAnsi="Times New Roman" w:cs="Times New Roman"/>
          <w:b w:val="0"/>
          <w:i w:val="0"/>
        </w:rPr>
        <w:t xml:space="preserve"> плановом периоде 2025-2027 гг. ожидается, что миграционный отток населения </w:t>
      </w:r>
      <w:r w:rsidRPr="00DD252F">
        <w:rPr>
          <w:rFonts w:ascii="Times New Roman" w:eastAsiaTheme="minorEastAsia" w:hAnsi="Times New Roman" w:cs="Times New Roman"/>
          <w:b w:val="0"/>
          <w:i w:val="0"/>
        </w:rPr>
        <w:t>составит: 2025 год – 112 чел., 2026 год – 116 чел., 2027 год – 105 чел. и темп роста к оценке 2024 года ожидается 99,06%.</w:t>
      </w:r>
    </w:p>
    <w:p w:rsidR="00E8606A" w:rsidRPr="00DD252F" w:rsidRDefault="00E8606A" w:rsidP="00E8606A"/>
    <w:p w:rsidR="00384BBD" w:rsidRPr="00DD252F" w:rsidRDefault="0018624A" w:rsidP="00733EAF">
      <w:pPr>
        <w:pStyle w:val="2"/>
        <w:spacing w:before="0" w:after="0"/>
        <w:ind w:firstLine="709"/>
        <w:rPr>
          <w:rFonts w:ascii="Times New Roman" w:hAnsi="Times New Roman" w:cs="Times New Roman"/>
          <w:i w:val="0"/>
        </w:rPr>
      </w:pPr>
      <w:r w:rsidRPr="00DD252F">
        <w:rPr>
          <w:rFonts w:ascii="Times New Roman" w:hAnsi="Times New Roman" w:cs="Times New Roman"/>
          <w:i w:val="0"/>
        </w:rPr>
        <w:t>Рынок труда</w:t>
      </w:r>
      <w:bookmarkEnd w:id="9"/>
      <w:bookmarkEnd w:id="10"/>
    </w:p>
    <w:p w:rsidR="00B45529" w:rsidRPr="00DD252F" w:rsidRDefault="00B45529" w:rsidP="00B45529"/>
    <w:p w:rsidR="00D236DC" w:rsidRPr="00DD252F" w:rsidRDefault="00D236DC" w:rsidP="00D236D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bookmarkStart w:id="11" w:name="_Toc177304555"/>
      <w:bookmarkStart w:id="12" w:name="_Toc209323008"/>
      <w:r w:rsidRPr="00DD252F">
        <w:rPr>
          <w:rFonts w:eastAsiaTheme="minorEastAsia"/>
          <w:sz w:val="28"/>
          <w:szCs w:val="28"/>
        </w:rPr>
        <w:t>Прогноз численности трудовых ресурсов рассчитывался с учетом демографического фактора, а также сложившихся тенденций в районе  формирования и использования трудовых ресурсов.</w:t>
      </w:r>
    </w:p>
    <w:p w:rsidR="00952198" w:rsidRPr="00DD252F" w:rsidRDefault="00D236DC" w:rsidP="00D236D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Численность трудовых ресурсов в среднем за период </w:t>
      </w:r>
      <w:r w:rsidR="00952198" w:rsidRPr="00DD252F">
        <w:rPr>
          <w:rFonts w:eastAsiaTheme="minorEastAsia"/>
          <w:sz w:val="28"/>
          <w:szCs w:val="28"/>
        </w:rPr>
        <w:t xml:space="preserve">по </w:t>
      </w:r>
      <w:r w:rsidR="005C7E06" w:rsidRPr="00DD252F">
        <w:rPr>
          <w:rFonts w:eastAsiaTheme="minorEastAsia"/>
          <w:sz w:val="28"/>
          <w:szCs w:val="28"/>
        </w:rPr>
        <w:t>оценке 2024 года</w:t>
      </w:r>
      <w:r w:rsidRPr="00DD252F">
        <w:rPr>
          <w:rFonts w:eastAsiaTheme="minorEastAsia"/>
          <w:sz w:val="28"/>
          <w:szCs w:val="28"/>
        </w:rPr>
        <w:t xml:space="preserve"> ожидается </w:t>
      </w:r>
      <w:r w:rsidR="005C7E06" w:rsidRPr="00DD252F">
        <w:rPr>
          <w:rFonts w:eastAsiaTheme="minorEastAsia"/>
          <w:sz w:val="28"/>
          <w:szCs w:val="28"/>
        </w:rPr>
        <w:t>6690 чел., в прогнозируемом периоде планируется незначительное увеличение показателя и составит: 2025 год – 6698 человек, 2026 год – 6704 человек, 2027 год – 6712 человек и темп роста к оценке 2024 года составит 100,33%.</w:t>
      </w:r>
    </w:p>
    <w:p w:rsidR="00D236DC" w:rsidRPr="00DD252F" w:rsidRDefault="005C7E06" w:rsidP="00D236D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По оценке 2024</w:t>
      </w:r>
      <w:r w:rsidR="00D236DC" w:rsidRPr="00DD252F">
        <w:rPr>
          <w:rFonts w:eastAsiaTheme="minorEastAsia"/>
          <w:sz w:val="28"/>
          <w:szCs w:val="28"/>
        </w:rPr>
        <w:t xml:space="preserve"> года в экономике района б</w:t>
      </w:r>
      <w:r w:rsidRPr="00DD252F">
        <w:rPr>
          <w:rFonts w:eastAsiaTheme="minorEastAsia"/>
          <w:sz w:val="28"/>
          <w:szCs w:val="28"/>
        </w:rPr>
        <w:t>удет</w:t>
      </w:r>
      <w:r w:rsidR="00D236DC" w:rsidRPr="00DD252F">
        <w:rPr>
          <w:rFonts w:eastAsiaTheme="minorEastAsia"/>
          <w:sz w:val="28"/>
          <w:szCs w:val="28"/>
        </w:rPr>
        <w:t xml:space="preserve"> занято 459</w:t>
      </w:r>
      <w:r w:rsidRPr="00DD252F">
        <w:rPr>
          <w:rFonts w:eastAsiaTheme="minorEastAsia"/>
          <w:sz w:val="28"/>
          <w:szCs w:val="28"/>
        </w:rPr>
        <w:t>9 человек</w:t>
      </w:r>
      <w:r w:rsidR="00D236DC" w:rsidRPr="00DD252F">
        <w:rPr>
          <w:rFonts w:eastAsiaTheme="minorEastAsia"/>
          <w:sz w:val="28"/>
          <w:szCs w:val="28"/>
        </w:rPr>
        <w:t>. В прогнозном периоде ожидается рост численности занятых в экономике и в 202</w:t>
      </w:r>
      <w:r w:rsidRPr="00DD252F">
        <w:rPr>
          <w:rFonts w:eastAsiaTheme="minorEastAsia"/>
          <w:sz w:val="28"/>
          <w:szCs w:val="28"/>
        </w:rPr>
        <w:t>5</w:t>
      </w:r>
      <w:r w:rsidR="00D236DC" w:rsidRPr="00DD252F">
        <w:rPr>
          <w:rFonts w:eastAsiaTheme="minorEastAsia"/>
          <w:sz w:val="28"/>
          <w:szCs w:val="28"/>
        </w:rPr>
        <w:t xml:space="preserve"> году составит 46</w:t>
      </w:r>
      <w:r w:rsidRPr="00DD252F">
        <w:rPr>
          <w:rFonts w:eastAsiaTheme="minorEastAsia"/>
          <w:sz w:val="28"/>
          <w:szCs w:val="28"/>
        </w:rPr>
        <w:t>08</w:t>
      </w:r>
      <w:r w:rsidR="00D236DC" w:rsidRPr="00DD252F">
        <w:rPr>
          <w:rFonts w:eastAsiaTheme="minorEastAsia"/>
          <w:sz w:val="28"/>
          <w:szCs w:val="28"/>
        </w:rPr>
        <w:t xml:space="preserve"> чел.</w:t>
      </w:r>
      <w:r w:rsidRPr="00DD252F">
        <w:rPr>
          <w:rFonts w:eastAsiaTheme="minorEastAsia"/>
          <w:sz w:val="28"/>
          <w:szCs w:val="28"/>
        </w:rPr>
        <w:t xml:space="preserve">, в 2026 году 4615 чел., в 2027 году 4624 чел. и темп роста к оценке 2024 года составит 100,54%. </w:t>
      </w:r>
      <w:r w:rsidR="00D236DC" w:rsidRPr="00DD252F">
        <w:rPr>
          <w:rFonts w:eastAsiaTheme="minorEastAsia"/>
          <w:sz w:val="28"/>
          <w:szCs w:val="28"/>
        </w:rPr>
        <w:t xml:space="preserve"> Влияние на рост показателя окажут мероприятия направленные на сокращение безработицы. </w:t>
      </w:r>
    </w:p>
    <w:p w:rsidR="00D236DC" w:rsidRPr="00DD252F" w:rsidRDefault="00D236DC" w:rsidP="00D236D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По оценке 2024 года </w:t>
      </w:r>
      <w:r w:rsidR="008F5624" w:rsidRPr="00DD252F">
        <w:rPr>
          <w:rFonts w:eastAsiaTheme="minorEastAsia"/>
          <w:sz w:val="28"/>
          <w:szCs w:val="28"/>
        </w:rPr>
        <w:t xml:space="preserve">фактический уровень безработицы </w:t>
      </w:r>
      <w:r w:rsidRPr="00DD252F">
        <w:rPr>
          <w:rFonts w:eastAsiaTheme="minorEastAsia"/>
          <w:sz w:val="28"/>
          <w:szCs w:val="28"/>
        </w:rPr>
        <w:t xml:space="preserve">ожидается </w:t>
      </w:r>
      <w:r w:rsidR="008F5624" w:rsidRPr="00DD252F">
        <w:rPr>
          <w:rFonts w:eastAsiaTheme="minorEastAsia"/>
          <w:sz w:val="28"/>
          <w:szCs w:val="28"/>
        </w:rPr>
        <w:t>на уровне</w:t>
      </w:r>
      <w:r w:rsidRPr="00DD252F">
        <w:rPr>
          <w:rFonts w:eastAsiaTheme="minorEastAsia"/>
          <w:sz w:val="28"/>
          <w:szCs w:val="28"/>
        </w:rPr>
        <w:t xml:space="preserve"> 2,9</w:t>
      </w:r>
      <w:r w:rsidR="008F5624" w:rsidRPr="00DD252F">
        <w:rPr>
          <w:rFonts w:eastAsiaTheme="minorEastAsia"/>
          <w:sz w:val="28"/>
          <w:szCs w:val="28"/>
        </w:rPr>
        <w:t>0</w:t>
      </w:r>
      <w:r w:rsidRPr="00DD252F">
        <w:rPr>
          <w:rFonts w:eastAsiaTheme="minorEastAsia"/>
          <w:sz w:val="28"/>
          <w:szCs w:val="28"/>
        </w:rPr>
        <w:t>%.  Прогноз на 2025-2027 гг. – 2,9</w:t>
      </w:r>
      <w:r w:rsidR="008F5624" w:rsidRPr="00DD252F">
        <w:rPr>
          <w:rFonts w:eastAsiaTheme="minorEastAsia"/>
          <w:sz w:val="28"/>
          <w:szCs w:val="28"/>
        </w:rPr>
        <w:t>0</w:t>
      </w:r>
      <w:r w:rsidRPr="00DD252F">
        <w:rPr>
          <w:rFonts w:eastAsiaTheme="minorEastAsia"/>
          <w:sz w:val="28"/>
          <w:szCs w:val="28"/>
        </w:rPr>
        <w:t>%.</w:t>
      </w:r>
    </w:p>
    <w:p w:rsidR="00D236DC" w:rsidRPr="00DD252F" w:rsidRDefault="00D236DC" w:rsidP="00D236D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Будет продолжена работа по снижению уровня безработицы за счет создания новых рабочих мест и </w:t>
      </w:r>
      <w:proofErr w:type="gramStart"/>
      <w:r w:rsidRPr="00DD252F">
        <w:rPr>
          <w:rFonts w:eastAsiaTheme="minorEastAsia"/>
          <w:sz w:val="28"/>
          <w:szCs w:val="28"/>
        </w:rPr>
        <w:t>сохранени</w:t>
      </w:r>
      <w:r w:rsidR="003B4377" w:rsidRPr="00DD252F">
        <w:rPr>
          <w:rFonts w:eastAsiaTheme="minorEastAsia"/>
          <w:sz w:val="28"/>
          <w:szCs w:val="28"/>
        </w:rPr>
        <w:t>я</w:t>
      </w:r>
      <w:proofErr w:type="gramEnd"/>
      <w:r w:rsidRPr="00DD252F">
        <w:rPr>
          <w:rFonts w:eastAsiaTheme="minorEastAsia"/>
          <w:sz w:val="28"/>
          <w:szCs w:val="28"/>
        </w:rPr>
        <w:t xml:space="preserve"> ранее созданных мест хозяйствующими субъектами в результате участия в государственных и муниципальных программах.</w:t>
      </w:r>
    </w:p>
    <w:p w:rsidR="00D236DC" w:rsidRPr="00DD252F" w:rsidRDefault="00D236DC" w:rsidP="00D236D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Среднесписочная численность работников списочного состава организаций без внешних совместителей по полному кругу </w:t>
      </w:r>
      <w:r w:rsidR="003B4377" w:rsidRPr="00DD252F">
        <w:rPr>
          <w:rFonts w:eastAsiaTheme="minorEastAsia"/>
          <w:sz w:val="28"/>
          <w:szCs w:val="28"/>
        </w:rPr>
        <w:t xml:space="preserve">по </w:t>
      </w:r>
      <w:r w:rsidRPr="00DD252F">
        <w:rPr>
          <w:rFonts w:eastAsiaTheme="minorEastAsia"/>
          <w:sz w:val="28"/>
          <w:szCs w:val="28"/>
        </w:rPr>
        <w:t>оценке 2024 года ожидается 2646 чел</w:t>
      </w:r>
      <w:r w:rsidR="003B4377" w:rsidRPr="00DD252F">
        <w:rPr>
          <w:rFonts w:eastAsiaTheme="minorEastAsia"/>
          <w:sz w:val="28"/>
          <w:szCs w:val="28"/>
        </w:rPr>
        <w:t>.</w:t>
      </w:r>
      <w:r w:rsidRPr="00DD252F">
        <w:rPr>
          <w:rFonts w:eastAsiaTheme="minorEastAsia"/>
          <w:sz w:val="28"/>
          <w:szCs w:val="28"/>
        </w:rPr>
        <w:t>, на прогнозируемый период 2025-2027 гг. планируется</w:t>
      </w:r>
      <w:r w:rsidR="003B4377" w:rsidRPr="00DD252F">
        <w:rPr>
          <w:rFonts w:eastAsiaTheme="minorEastAsia"/>
          <w:sz w:val="28"/>
          <w:szCs w:val="28"/>
        </w:rPr>
        <w:t>:</w:t>
      </w:r>
      <w:r w:rsidRPr="00DD252F">
        <w:rPr>
          <w:rFonts w:eastAsiaTheme="minorEastAsia"/>
          <w:sz w:val="28"/>
          <w:szCs w:val="28"/>
        </w:rPr>
        <w:t xml:space="preserve"> </w:t>
      </w:r>
      <w:r w:rsidR="003B4377" w:rsidRPr="00DD252F">
        <w:rPr>
          <w:rFonts w:eastAsiaTheme="minorEastAsia"/>
          <w:sz w:val="28"/>
          <w:szCs w:val="28"/>
        </w:rPr>
        <w:t>2651 чел., 2656 чел., 2661 чел. соответственно и темп роста к оценке 2024 года составит 100,57%.</w:t>
      </w:r>
    </w:p>
    <w:p w:rsidR="00D236DC" w:rsidRDefault="00D236DC" w:rsidP="003B4377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:rsidR="00F77075" w:rsidRDefault="00F77075" w:rsidP="003B4377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:rsidR="00F77075" w:rsidRPr="00DD252F" w:rsidRDefault="00F77075" w:rsidP="003B4377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bookmarkStart w:id="13" w:name="_GoBack"/>
      <w:bookmarkEnd w:id="13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7"/>
        <w:gridCol w:w="1418"/>
        <w:gridCol w:w="1275"/>
        <w:gridCol w:w="1276"/>
        <w:gridCol w:w="1418"/>
        <w:gridCol w:w="1417"/>
      </w:tblGrid>
      <w:tr w:rsidR="00C023A7" w:rsidRPr="00DD252F" w:rsidTr="0079040F">
        <w:trPr>
          <w:trHeight w:val="300"/>
        </w:trPr>
        <w:tc>
          <w:tcPr>
            <w:tcW w:w="31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lastRenderedPageBreak/>
              <w:t>Наименование показателя</w:t>
            </w: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ind w:left="-288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ind w:left="90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Единица</w:t>
            </w:r>
          </w:p>
          <w:p w:rsidR="00C023A7" w:rsidRPr="00DD252F" w:rsidRDefault="0079040F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измерения</w:t>
            </w: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23A7" w:rsidRPr="00DD252F" w:rsidRDefault="00650CA7">
            <w:pPr>
              <w:spacing w:after="200" w:line="276" w:lineRule="auto"/>
              <w:jc w:val="left"/>
              <w:rPr>
                <w:rFonts w:eastAsiaTheme="minorEastAsia"/>
              </w:rPr>
            </w:pPr>
            <w:r w:rsidRPr="00DD252F">
              <w:rPr>
                <w:rFonts w:eastAsiaTheme="minorEastAsia"/>
              </w:rPr>
              <w:t>Годы</w:t>
            </w:r>
          </w:p>
        </w:tc>
      </w:tr>
      <w:tr w:rsidR="00C023A7" w:rsidRPr="00DD252F" w:rsidTr="0079040F">
        <w:trPr>
          <w:trHeight w:val="810"/>
        </w:trPr>
        <w:tc>
          <w:tcPr>
            <w:tcW w:w="31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90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2024</w:t>
            </w: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2025</w:t>
            </w: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прогноз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2026</w:t>
            </w: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прогноз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2027</w:t>
            </w: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прогноз</w:t>
            </w:r>
          </w:p>
        </w:tc>
      </w:tr>
      <w:tr w:rsidR="00C023A7" w:rsidRPr="00DD252F" w:rsidTr="0079040F">
        <w:trPr>
          <w:trHeight w:val="345"/>
        </w:trPr>
        <w:tc>
          <w:tcPr>
            <w:tcW w:w="3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 w:hanging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Численность трудовых ресурсов в среднем за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тыс.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6,690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6,698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6,704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6,712</w:t>
            </w:r>
          </w:p>
        </w:tc>
      </w:tr>
      <w:tr w:rsidR="00C023A7" w:rsidRPr="00DD252F" w:rsidTr="0079040F">
        <w:trPr>
          <w:trHeight w:val="345"/>
        </w:trPr>
        <w:tc>
          <w:tcPr>
            <w:tcW w:w="3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 w:hanging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Темп роста в действующих ценах, к соответствующему периоду предыдущего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100,12</w:t>
            </w:r>
          </w:p>
        </w:tc>
      </w:tr>
      <w:tr w:rsidR="00C023A7" w:rsidRPr="00DD252F" w:rsidTr="0079040F">
        <w:trPr>
          <w:trHeight w:val="345"/>
        </w:trPr>
        <w:tc>
          <w:tcPr>
            <w:tcW w:w="3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 w:hanging="72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Численность иностранных граждан, осуществляющих трудовую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0</w:t>
            </w:r>
          </w:p>
        </w:tc>
      </w:tr>
      <w:tr w:rsidR="00C023A7" w:rsidRPr="00DD252F" w:rsidTr="0079040F">
        <w:trPr>
          <w:trHeight w:val="255"/>
        </w:trPr>
        <w:tc>
          <w:tcPr>
            <w:tcW w:w="3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 w:hanging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 xml:space="preserve">Численность </w:t>
            </w:r>
            <w:proofErr w:type="gramStart"/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занятых</w:t>
            </w:r>
            <w:proofErr w:type="gramEnd"/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 xml:space="preserve"> в экономике (среднегодовая)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тыс.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4,599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4,608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4,615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4,624</w:t>
            </w:r>
          </w:p>
        </w:tc>
      </w:tr>
      <w:tr w:rsidR="00C023A7" w:rsidRPr="00DD252F" w:rsidTr="0079040F">
        <w:trPr>
          <w:trHeight w:val="255"/>
        </w:trPr>
        <w:tc>
          <w:tcPr>
            <w:tcW w:w="3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 w:hanging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Темп роста в действующих ценах, к соответствующему периоду предыдущего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100,20</w:t>
            </w:r>
          </w:p>
        </w:tc>
      </w:tr>
      <w:tr w:rsidR="00C023A7" w:rsidRPr="00DD252F" w:rsidTr="0079040F">
        <w:trPr>
          <w:trHeight w:val="255"/>
        </w:trPr>
        <w:tc>
          <w:tcPr>
            <w:tcW w:w="3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 w:hanging="72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Среднесписочная численность работников организаций без внешних совместителей по полному кругу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2646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2651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2656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2661</w:t>
            </w:r>
          </w:p>
        </w:tc>
      </w:tr>
      <w:tr w:rsidR="00C023A7" w:rsidRPr="00DD252F" w:rsidTr="0079040F">
        <w:trPr>
          <w:trHeight w:val="255"/>
        </w:trPr>
        <w:tc>
          <w:tcPr>
            <w:tcW w:w="3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 w:hanging="72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Темп роста в действующих ценах, к соответствующему периоду предыдущего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100,19</w:t>
            </w:r>
          </w:p>
        </w:tc>
      </w:tr>
      <w:tr w:rsidR="00C023A7" w:rsidRPr="00DD252F" w:rsidTr="0079040F">
        <w:trPr>
          <w:trHeight w:val="255"/>
        </w:trPr>
        <w:tc>
          <w:tcPr>
            <w:tcW w:w="3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ind w:left="72"/>
              <w:jc w:val="left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Уровень зарегистрированной безработицы (к трудоспособному населению в трудоспособном возрасте), на конец периода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</w:p>
          <w:p w:rsidR="00C023A7" w:rsidRPr="00DD252F" w:rsidRDefault="00C023A7" w:rsidP="00D236DC">
            <w:pPr>
              <w:autoSpaceDE w:val="0"/>
              <w:autoSpaceDN w:val="0"/>
              <w:adjustRightInd w:val="0"/>
              <w:ind w:left="224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3A7" w:rsidRPr="00DD252F" w:rsidRDefault="00C023A7" w:rsidP="00D236D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en-US"/>
              </w:rPr>
            </w:pPr>
            <w:r w:rsidRPr="00DD252F">
              <w:rPr>
                <w:rFonts w:ascii="Times New Roman CYR" w:eastAsiaTheme="minorEastAsia" w:hAnsi="Times New Roman CYR" w:cs="Times New Roman CYR"/>
                <w:lang w:eastAsia="en-US"/>
              </w:rPr>
              <w:t>2,9</w:t>
            </w:r>
          </w:p>
        </w:tc>
      </w:tr>
    </w:tbl>
    <w:p w:rsidR="00BF78EE" w:rsidRPr="00DD252F" w:rsidRDefault="00BF78EE" w:rsidP="00BF78EE"/>
    <w:p w:rsidR="0018624A" w:rsidRPr="00DD252F" w:rsidRDefault="0018624A" w:rsidP="00D236DC">
      <w:pPr>
        <w:pStyle w:val="2"/>
        <w:spacing w:before="0" w:after="0"/>
        <w:ind w:firstLine="709"/>
        <w:rPr>
          <w:rFonts w:ascii="Times New Roman" w:hAnsi="Times New Roman" w:cs="Times New Roman"/>
          <w:i w:val="0"/>
        </w:rPr>
      </w:pPr>
      <w:r w:rsidRPr="00DD252F">
        <w:rPr>
          <w:rFonts w:ascii="Times New Roman" w:hAnsi="Times New Roman" w:cs="Times New Roman"/>
          <w:i w:val="0"/>
        </w:rPr>
        <w:t>Уровень жизни населения</w:t>
      </w:r>
      <w:bookmarkEnd w:id="11"/>
      <w:bookmarkEnd w:id="12"/>
      <w:r w:rsidRPr="00DD252F">
        <w:rPr>
          <w:rFonts w:ascii="Times New Roman" w:hAnsi="Times New Roman" w:cs="Times New Roman"/>
          <w:i w:val="0"/>
        </w:rPr>
        <w:t xml:space="preserve"> </w:t>
      </w:r>
    </w:p>
    <w:p w:rsidR="0085583E" w:rsidRPr="00DD252F" w:rsidRDefault="0085583E" w:rsidP="0085583E"/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851"/>
        <w:gridCol w:w="1559"/>
        <w:gridCol w:w="1559"/>
        <w:gridCol w:w="1701"/>
        <w:gridCol w:w="1843"/>
      </w:tblGrid>
      <w:tr w:rsidR="00F54412" w:rsidRPr="00DD252F" w:rsidTr="005871DC">
        <w:trPr>
          <w:trHeight w:val="79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Ед.</w:t>
            </w:r>
          </w:p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2024 год</w:t>
            </w:r>
          </w:p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2025 год</w:t>
            </w:r>
          </w:p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прогноз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2026 год</w:t>
            </w:r>
          </w:p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прогноз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4412" w:rsidRPr="00DD252F" w:rsidRDefault="00F54412" w:rsidP="00F54412">
            <w:pPr>
              <w:tabs>
                <w:tab w:val="left" w:pos="10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2027 год</w:t>
            </w:r>
          </w:p>
          <w:p w:rsidR="00F54412" w:rsidRPr="00DD252F" w:rsidRDefault="00F54412" w:rsidP="00F54412">
            <w:pPr>
              <w:tabs>
                <w:tab w:val="left" w:pos="10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прогноз</w:t>
            </w:r>
          </w:p>
        </w:tc>
      </w:tr>
      <w:tr w:rsidR="00F54412" w:rsidRPr="00DD252F" w:rsidTr="005871DC">
        <w:trPr>
          <w:trHeight w:val="41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 xml:space="preserve">Среднедушевые денежные доходы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29202,49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31772,31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33996,37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4412" w:rsidRPr="00DD252F" w:rsidRDefault="00F54412" w:rsidP="00F54412">
            <w:pPr>
              <w:tabs>
                <w:tab w:val="left" w:pos="10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36240,13</w:t>
            </w:r>
          </w:p>
        </w:tc>
      </w:tr>
      <w:tr w:rsidR="00F54412" w:rsidRPr="00DD252F" w:rsidTr="005871DC">
        <w:trPr>
          <w:trHeight w:val="41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Темп роста среднедушевых денежных доходов населения номинальный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119,50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4412" w:rsidRPr="00DD252F" w:rsidRDefault="00F54412" w:rsidP="00F54412">
            <w:pPr>
              <w:tabs>
                <w:tab w:val="left" w:pos="10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106,60</w:t>
            </w:r>
          </w:p>
        </w:tc>
      </w:tr>
      <w:tr w:rsidR="00F54412" w:rsidRPr="00DD252F" w:rsidTr="005871DC">
        <w:trPr>
          <w:trHeight w:val="41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 xml:space="preserve">Темп роста среднедушевых денежных доходов </w:t>
            </w:r>
            <w:r w:rsidRPr="00DD252F">
              <w:rPr>
                <w:rFonts w:eastAsiaTheme="minorEastAsia"/>
                <w:lang w:eastAsia="en-US"/>
              </w:rPr>
              <w:lastRenderedPageBreak/>
              <w:t>населения реальный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110,85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103,62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102,88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4412" w:rsidRPr="00DD252F" w:rsidRDefault="00F54412" w:rsidP="00F54412">
            <w:pPr>
              <w:tabs>
                <w:tab w:val="left" w:pos="10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102,50</w:t>
            </w:r>
          </w:p>
        </w:tc>
      </w:tr>
      <w:tr w:rsidR="00F54412" w:rsidRPr="00DD252F" w:rsidTr="005871DC">
        <w:trPr>
          <w:trHeight w:val="41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lastRenderedPageBreak/>
              <w:t>Фонд заработной платы работников списочного состава организаций и внешних совместителей по полному кругу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5871DC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т</w:t>
            </w:r>
            <w:r w:rsidR="00F54412" w:rsidRPr="00DD252F">
              <w:rPr>
                <w:rFonts w:eastAsiaTheme="minorEastAsia"/>
                <w:lang w:eastAsia="en-US"/>
              </w:rPr>
              <w:t>ыс.</w:t>
            </w:r>
          </w:p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1838707,54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2000513,80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2140549,77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4412" w:rsidRPr="00DD252F" w:rsidRDefault="00F54412" w:rsidP="00F54412">
            <w:pPr>
              <w:tabs>
                <w:tab w:val="left" w:pos="10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2281826,05</w:t>
            </w:r>
          </w:p>
        </w:tc>
      </w:tr>
      <w:tr w:rsidR="00F54412" w:rsidRPr="00DD252F" w:rsidTr="005871DC">
        <w:trPr>
          <w:trHeight w:val="41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Темп роста фонда заработной платы работников списочного состава организаций номинальный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119,50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4412" w:rsidRPr="00DD252F" w:rsidRDefault="00F54412" w:rsidP="00F54412">
            <w:pPr>
              <w:tabs>
                <w:tab w:val="left" w:pos="10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106,60</w:t>
            </w:r>
          </w:p>
        </w:tc>
      </w:tr>
      <w:tr w:rsidR="00F54412" w:rsidRPr="00DD252F" w:rsidTr="005871DC">
        <w:trPr>
          <w:trHeight w:val="41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Среднемесячная заработная плата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58018,09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63123,68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67542,34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4412" w:rsidRPr="00DD252F" w:rsidRDefault="00F54412" w:rsidP="00F54412">
            <w:pPr>
              <w:tabs>
                <w:tab w:val="left" w:pos="10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72000,13</w:t>
            </w:r>
          </w:p>
        </w:tc>
      </w:tr>
      <w:tr w:rsidR="00F54412" w:rsidRPr="00DD252F" w:rsidTr="005871DC">
        <w:trPr>
          <w:trHeight w:val="41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Темп роста среднемесячной заработной платы работников в действующих ценах (номинальный)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119,50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12" w:rsidRPr="00DD252F" w:rsidRDefault="00F54412" w:rsidP="00F54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4412" w:rsidRPr="00DD252F" w:rsidRDefault="00F54412" w:rsidP="00F54412">
            <w:pPr>
              <w:tabs>
                <w:tab w:val="left" w:pos="10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DD252F">
              <w:rPr>
                <w:rFonts w:eastAsiaTheme="minorEastAsia"/>
                <w:lang w:eastAsia="en-US"/>
              </w:rPr>
              <w:t>106,40</w:t>
            </w:r>
          </w:p>
        </w:tc>
      </w:tr>
    </w:tbl>
    <w:p w:rsidR="00F54412" w:rsidRPr="00DD252F" w:rsidRDefault="00F54412" w:rsidP="00F54412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F54412" w:rsidRPr="00DD252F" w:rsidRDefault="00F54412" w:rsidP="008E3AD6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Среднедушевые доходы населения в действующих ценах</w:t>
      </w:r>
      <w:r w:rsidR="00893288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имеют тенденцию к увеличению. </w:t>
      </w:r>
      <w:proofErr w:type="gramStart"/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По оценке 2024 года </w:t>
      </w:r>
      <w:r w:rsidR="00893288" w:rsidRPr="00DD252F">
        <w:rPr>
          <w:rFonts w:ascii="Times New Roman CYR" w:eastAsiaTheme="minorEastAsia" w:hAnsi="Times New Roman CYR" w:cs="Times New Roman CYR"/>
          <w:sz w:val="28"/>
          <w:szCs w:val="28"/>
        </w:rPr>
        <w:t>среднедушевые доходы населения ожидаются 29202,49 руб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. В прогнозируемом периоде 2025-2027 годах планируется с ежегодным ростом: в 2025 г – </w:t>
      </w:r>
      <w:r w:rsidR="00893288" w:rsidRPr="00DD252F">
        <w:rPr>
          <w:rFonts w:ascii="Times New Roman CYR" w:eastAsiaTheme="minorEastAsia" w:hAnsi="Times New Roman CYR" w:cs="Times New Roman CYR"/>
          <w:sz w:val="28"/>
          <w:szCs w:val="28"/>
        </w:rPr>
        <w:t>31772,31 руб.,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 2026 г. – </w:t>
      </w:r>
      <w:r w:rsidR="00893288" w:rsidRPr="00DD252F">
        <w:rPr>
          <w:rFonts w:ascii="Times New Roman CYR" w:eastAsiaTheme="minorEastAsia" w:hAnsi="Times New Roman CYR" w:cs="Times New Roman CYR"/>
          <w:sz w:val="28"/>
          <w:szCs w:val="28"/>
        </w:rPr>
        <w:t>33996,37 руб. и в 2027 г. – 36240,13 руб.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 На рост денежных дох</w:t>
      </w:r>
      <w:r w:rsidR="00893288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одов в номинальном выражении, в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первую очередь</w:t>
      </w:r>
      <w:r w:rsidR="00893288" w:rsidRPr="00DD252F">
        <w:rPr>
          <w:rFonts w:ascii="Times New Roman CYR" w:eastAsiaTheme="minorEastAsia" w:hAnsi="Times New Roman CYR" w:cs="Times New Roman CYR"/>
          <w:sz w:val="28"/>
          <w:szCs w:val="28"/>
        </w:rPr>
        <w:t>,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 </w:t>
      </w:r>
      <w:r w:rsidR="00893288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планируется, что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повлия</w:t>
      </w:r>
      <w:r w:rsidR="00893288" w:rsidRPr="00DD252F">
        <w:rPr>
          <w:rFonts w:ascii="Times New Roman CYR" w:eastAsiaTheme="minorEastAsia" w:hAnsi="Times New Roman CYR" w:cs="Times New Roman CYR"/>
          <w:sz w:val="28"/>
          <w:szCs w:val="28"/>
        </w:rPr>
        <w:t>ет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 повышение пенсий, социальных выплат населению, заработной платы производственной и непроизводственной сферы.</w:t>
      </w:r>
      <w:proofErr w:type="gramEnd"/>
      <w:r w:rsidR="008E3AD6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Основным источником формирования денежных доходов населения района является оплата труда (предположительно более 60 % денежных доходов населения).</w:t>
      </w:r>
    </w:p>
    <w:p w:rsidR="00F54412" w:rsidRPr="00DD252F" w:rsidRDefault="000D0B8B" w:rsidP="00F54412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2024 года</w:t>
      </w:r>
      <w:r w:rsidR="00F54412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фонд заработной платы, начисленной работникам организаций</w:t>
      </w:r>
      <w:r w:rsidR="00B92358" w:rsidRPr="00DD252F">
        <w:rPr>
          <w:rFonts w:ascii="Times New Roman CYR" w:eastAsiaTheme="minorEastAsia" w:hAnsi="Times New Roman CYR" w:cs="Times New Roman CYR"/>
          <w:sz w:val="28"/>
          <w:szCs w:val="28"/>
        </w:rPr>
        <w:t>,</w:t>
      </w:r>
      <w:r w:rsidR="00F54412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 состави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т</w:t>
      </w:r>
      <w:r w:rsidR="00B92358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1838707,54</w:t>
      </w:r>
      <w:r w:rsidR="00F54412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тыс. р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ублей</w:t>
      </w:r>
      <w:r w:rsidR="00F54412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, в прогнозируемом периоде 2025-2027 годах </w:t>
      </w:r>
      <w:r w:rsidR="00B92358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планируется </w:t>
      </w:r>
      <w:r w:rsidR="00F54412" w:rsidRPr="00DD252F">
        <w:rPr>
          <w:rFonts w:ascii="Times New Roman CYR" w:eastAsiaTheme="minorEastAsia" w:hAnsi="Times New Roman CYR" w:cs="Times New Roman CYR"/>
          <w:sz w:val="28"/>
          <w:szCs w:val="28"/>
        </w:rPr>
        <w:t>рост фонда заработной платы</w:t>
      </w:r>
      <w:r w:rsidR="00B92358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и</w:t>
      </w:r>
      <w:r w:rsidR="00F54412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составит в 2025 г. </w:t>
      </w:r>
      <w:r w:rsidR="00B92358" w:rsidRPr="00DD252F">
        <w:rPr>
          <w:rFonts w:ascii="Times New Roman CYR" w:eastAsiaTheme="minorEastAsia" w:hAnsi="Times New Roman CYR" w:cs="Times New Roman CYR"/>
          <w:sz w:val="28"/>
          <w:szCs w:val="28"/>
        </w:rPr>
        <w:t>– 2000513,80 тыс. рублей, в 2026 г. – 2140549,77 тыс. рублей, в 2027 г. – 2281826,05 тыс.</w:t>
      </w:r>
      <w:r w:rsidR="00FE2C5D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B92358" w:rsidRPr="00DD252F">
        <w:rPr>
          <w:rFonts w:ascii="Times New Roman CYR" w:eastAsiaTheme="minorEastAsia" w:hAnsi="Times New Roman CYR" w:cs="Times New Roman CYR"/>
          <w:sz w:val="28"/>
          <w:szCs w:val="28"/>
        </w:rPr>
        <w:t>рублей</w:t>
      </w:r>
      <w:r w:rsidR="00F54412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. </w:t>
      </w:r>
    </w:p>
    <w:p w:rsidR="00F54412" w:rsidRPr="00DD252F" w:rsidRDefault="00F54412" w:rsidP="00F54412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По оценке за 2024 год среднемесячная начисленная заработная плат</w:t>
      </w:r>
      <w:r w:rsidR="00BB25D3" w:rsidRPr="00DD252F">
        <w:rPr>
          <w:rFonts w:ascii="Times New Roman CYR" w:eastAsiaTheme="minorEastAsia" w:hAnsi="Times New Roman CYR" w:cs="Times New Roman CYR"/>
          <w:sz w:val="28"/>
          <w:szCs w:val="28"/>
        </w:rPr>
        <w:t>а достигнет 58018,09 рублей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. В прогнозируемом периоде в 2</w:t>
      </w:r>
      <w:r w:rsidR="00BB25D3" w:rsidRPr="00DD252F">
        <w:rPr>
          <w:rFonts w:ascii="Times New Roman CYR" w:eastAsiaTheme="minorEastAsia" w:hAnsi="Times New Roman CYR" w:cs="Times New Roman CYR"/>
          <w:sz w:val="28"/>
          <w:szCs w:val="28"/>
        </w:rPr>
        <w:t>025 году составит 63123,68 руб., в 2026 году – 67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542,34</w:t>
      </w:r>
      <w:r w:rsidR="00BB25D3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руб.,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в 2027 году – 7</w:t>
      </w:r>
      <w:r w:rsidR="00BB25D3" w:rsidRPr="00DD252F">
        <w:rPr>
          <w:rFonts w:ascii="Times New Roman CYR" w:eastAsiaTheme="minorEastAsia" w:hAnsi="Times New Roman CYR" w:cs="Times New Roman CYR"/>
          <w:sz w:val="28"/>
          <w:szCs w:val="28"/>
        </w:rPr>
        <w:t>2000,13 руб., увеличится на 24,10% к оценке 2024 года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.</w:t>
      </w:r>
    </w:p>
    <w:p w:rsidR="00F54412" w:rsidRPr="00DD252F" w:rsidRDefault="00F54412" w:rsidP="00F54412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Уровень заработной платы в районе существенно отличается по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>отраслям.</w:t>
      </w:r>
    </w:p>
    <w:p w:rsidR="00F54412" w:rsidRPr="00DD252F" w:rsidRDefault="00F54412" w:rsidP="00F54412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Среднемесячная начисленная заработная</w:t>
      </w:r>
      <w:r w:rsidR="00F26715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плата в бюджетной сфере по оценке 2024 года составит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:</w:t>
      </w:r>
    </w:p>
    <w:p w:rsidR="00F54412" w:rsidRPr="00DD252F" w:rsidRDefault="00F54412" w:rsidP="00F54412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- работников муниципальных дошкольных образовательных учреждений состави</w:t>
      </w:r>
      <w:r w:rsidR="00F26715" w:rsidRPr="00DD252F">
        <w:rPr>
          <w:rFonts w:ascii="Times New Roman CYR" w:eastAsiaTheme="minorEastAsia" w:hAnsi="Times New Roman CYR" w:cs="Times New Roman CYR"/>
          <w:sz w:val="28"/>
          <w:szCs w:val="28"/>
        </w:rPr>
        <w:t>т 38649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,</w:t>
      </w:r>
      <w:r w:rsidR="00F26715" w:rsidRPr="00DD252F">
        <w:rPr>
          <w:rFonts w:ascii="Times New Roman CYR" w:eastAsiaTheme="minorEastAsia" w:hAnsi="Times New Roman CYR" w:cs="Times New Roman CYR"/>
          <w:sz w:val="28"/>
          <w:szCs w:val="28"/>
        </w:rPr>
        <w:t>65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рублей;</w:t>
      </w:r>
    </w:p>
    <w:p w:rsidR="00F54412" w:rsidRPr="00DD252F" w:rsidRDefault="00F54412" w:rsidP="00F54412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- работников муниципальных общеобразовательных учреждений среднемесячная номинальная начисленная заработная плата состави</w:t>
      </w:r>
      <w:r w:rsidR="00F26715" w:rsidRPr="00DD252F">
        <w:rPr>
          <w:rFonts w:ascii="Times New Roman CYR" w:eastAsiaTheme="minorEastAsia" w:hAnsi="Times New Roman CYR" w:cs="Times New Roman CYR"/>
          <w:sz w:val="28"/>
          <w:szCs w:val="28"/>
        </w:rPr>
        <w:t>т 48514,55 рублей;</w:t>
      </w:r>
    </w:p>
    <w:p w:rsidR="00F54412" w:rsidRPr="00DD252F" w:rsidRDefault="00F54412" w:rsidP="00F54412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- работников муниципальных учреждений культуры и искусства состави</w:t>
      </w:r>
      <w:r w:rsidR="00F26715" w:rsidRPr="00DD252F">
        <w:rPr>
          <w:rFonts w:ascii="Times New Roman CYR" w:eastAsiaTheme="minorEastAsia" w:hAnsi="Times New Roman CYR" w:cs="Times New Roman CYR"/>
          <w:sz w:val="28"/>
          <w:szCs w:val="28"/>
        </w:rPr>
        <w:t>т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F26715"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48562,12 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рублей</w:t>
      </w:r>
      <w:r w:rsidR="00F26715" w:rsidRPr="00DD252F">
        <w:rPr>
          <w:rFonts w:ascii="Times New Roman CYR" w:eastAsiaTheme="minorEastAsia" w:hAnsi="Times New Roman CYR" w:cs="Times New Roman CYR"/>
          <w:sz w:val="28"/>
          <w:szCs w:val="28"/>
        </w:rPr>
        <w:t>;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</w:p>
    <w:p w:rsidR="0085583E" w:rsidRPr="00DD252F" w:rsidRDefault="00F54412" w:rsidP="000B51DA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- работников муниципальных учреждений физической культуры и спорта состави</w:t>
      </w:r>
      <w:r w:rsidR="00F26715" w:rsidRPr="00DD252F">
        <w:rPr>
          <w:rFonts w:ascii="Times New Roman CYR" w:eastAsiaTheme="minorEastAsia" w:hAnsi="Times New Roman CYR" w:cs="Times New Roman CYR"/>
          <w:sz w:val="28"/>
          <w:szCs w:val="28"/>
        </w:rPr>
        <w:t>т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265B80" w:rsidRPr="00DD252F">
        <w:rPr>
          <w:rFonts w:ascii="Times New Roman CYR" w:eastAsiaTheme="minorEastAsia" w:hAnsi="Times New Roman CYR" w:cs="Times New Roman CYR"/>
          <w:sz w:val="28"/>
          <w:szCs w:val="28"/>
        </w:rPr>
        <w:t>45400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,</w:t>
      </w:r>
      <w:r w:rsidR="00265B80" w:rsidRPr="00DD252F">
        <w:rPr>
          <w:rFonts w:ascii="Times New Roman CYR" w:eastAsiaTheme="minorEastAsia" w:hAnsi="Times New Roman CYR" w:cs="Times New Roman CYR"/>
          <w:sz w:val="28"/>
          <w:szCs w:val="28"/>
        </w:rPr>
        <w:t>87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рублей</w:t>
      </w:r>
      <w:r w:rsidR="00F26715" w:rsidRPr="00DD252F">
        <w:rPr>
          <w:rFonts w:ascii="Times New Roman CYR" w:eastAsiaTheme="minorEastAsia" w:hAnsi="Times New Roman CYR" w:cs="Times New Roman CYR"/>
          <w:sz w:val="28"/>
          <w:szCs w:val="28"/>
        </w:rPr>
        <w:t>.</w:t>
      </w:r>
    </w:p>
    <w:p w:rsidR="007C1400" w:rsidRPr="00DD252F" w:rsidRDefault="007C1400" w:rsidP="000B51DA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Среднемесячная начисленная заработная плата в бюджетной сфере в прогнозируемом периоде 2025-2027 гг. составит:</w:t>
      </w:r>
    </w:p>
    <w:p w:rsidR="007C1400" w:rsidRPr="00DD252F" w:rsidRDefault="007C1400" w:rsidP="007C1400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- работников муниципальных дошкольных образовательных учреждений составит </w:t>
      </w:r>
      <w:r w:rsidR="00C16CB3" w:rsidRPr="00DD252F">
        <w:rPr>
          <w:rFonts w:ascii="Times New Roman CYR" w:eastAsiaTheme="minorEastAsia" w:hAnsi="Times New Roman CYR" w:cs="Times New Roman CYR"/>
          <w:sz w:val="28"/>
          <w:szCs w:val="28"/>
        </w:rPr>
        <w:t>43466,35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рублей;</w:t>
      </w:r>
    </w:p>
    <w:p w:rsidR="007C1400" w:rsidRPr="00DD252F" w:rsidRDefault="007C1400" w:rsidP="007C1400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- работников муниципальных общеобразовательных учреждений среднемесячная номинальная начисленная заработная плата составит </w:t>
      </w:r>
      <w:r w:rsidR="00C16CB3" w:rsidRPr="00DD252F">
        <w:rPr>
          <w:rFonts w:ascii="Times New Roman CYR" w:eastAsiaTheme="minorEastAsia" w:hAnsi="Times New Roman CYR" w:cs="Times New Roman CYR"/>
          <w:sz w:val="28"/>
          <w:szCs w:val="28"/>
        </w:rPr>
        <w:t>53331,03</w:t>
      </w: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 рублей;</w:t>
      </w:r>
    </w:p>
    <w:p w:rsidR="007C1400" w:rsidRPr="00DD252F" w:rsidRDefault="007C1400" w:rsidP="007C1400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 xml:space="preserve">- работников муниципальных учреждений культуры и искусства составит 48562,12 рублей; </w:t>
      </w:r>
    </w:p>
    <w:p w:rsidR="007C1400" w:rsidRPr="00DD252F" w:rsidRDefault="007C1400" w:rsidP="007C1400">
      <w:pPr>
        <w:widowControl w:val="0"/>
        <w:autoSpaceDE w:val="0"/>
        <w:autoSpaceDN w:val="0"/>
        <w:adjustRightInd w:val="0"/>
        <w:ind w:firstLine="720"/>
        <w:rPr>
          <w:rFonts w:ascii="Times New Roman CYR" w:eastAsiaTheme="minorEastAsia" w:hAnsi="Times New Roman CYR" w:cs="Times New Roman CYR"/>
          <w:sz w:val="28"/>
          <w:szCs w:val="28"/>
        </w:rPr>
      </w:pPr>
      <w:r w:rsidRPr="00DD252F">
        <w:rPr>
          <w:rFonts w:ascii="Times New Roman CYR" w:eastAsiaTheme="minorEastAsia" w:hAnsi="Times New Roman CYR" w:cs="Times New Roman CYR"/>
          <w:sz w:val="28"/>
          <w:szCs w:val="28"/>
        </w:rPr>
        <w:t>- работников муниципальных учреждений физической культуры и спорта составит 45400,87 рублей.</w:t>
      </w:r>
    </w:p>
    <w:p w:rsidR="00D6111B" w:rsidRPr="00DD252F" w:rsidRDefault="00D6111B" w:rsidP="005B2779">
      <w:pPr>
        <w:autoSpaceDE w:val="0"/>
        <w:autoSpaceDN w:val="0"/>
        <w:adjustRightInd w:val="0"/>
        <w:rPr>
          <w:sz w:val="28"/>
          <w:szCs w:val="28"/>
        </w:rPr>
      </w:pPr>
    </w:p>
    <w:p w:rsidR="000F1C99" w:rsidRPr="00DD252F" w:rsidRDefault="009E4DDD" w:rsidP="002F24AD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DD252F">
        <w:rPr>
          <w:b/>
          <w:sz w:val="28"/>
          <w:szCs w:val="28"/>
        </w:rPr>
        <w:t>Охрана окружающей среды</w:t>
      </w:r>
    </w:p>
    <w:p w:rsidR="007441A0" w:rsidRPr="005B2779" w:rsidRDefault="007441A0" w:rsidP="001A7F32">
      <w:pPr>
        <w:autoSpaceDE w:val="0"/>
        <w:autoSpaceDN w:val="0"/>
        <w:adjustRightInd w:val="0"/>
        <w:ind w:firstLine="709"/>
        <w:rPr>
          <w:rFonts w:cs="Calibri"/>
          <w:sz w:val="28"/>
          <w:szCs w:val="28"/>
        </w:rPr>
      </w:pP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В Каратузском районе имеется семь гидротехнических сооружений: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1. Защитная дамба с. Верхний Кужебар – собственность субъекта Российской Федерации.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2. Защитное сооружение от затопления водами реки </w:t>
      </w:r>
      <w:proofErr w:type="spellStart"/>
      <w:r w:rsidRPr="00DD252F">
        <w:rPr>
          <w:rFonts w:eastAsiaTheme="minorEastAsia"/>
          <w:sz w:val="28"/>
          <w:szCs w:val="28"/>
        </w:rPr>
        <w:t>Амыл</w:t>
      </w:r>
      <w:proofErr w:type="spellEnd"/>
      <w:r w:rsidRPr="00DD252F">
        <w:rPr>
          <w:rFonts w:eastAsiaTheme="minorEastAsia"/>
          <w:sz w:val="28"/>
          <w:szCs w:val="28"/>
        </w:rPr>
        <w:t xml:space="preserve"> и ручья </w:t>
      </w:r>
      <w:proofErr w:type="spellStart"/>
      <w:r w:rsidRPr="00DD252F">
        <w:rPr>
          <w:rFonts w:eastAsiaTheme="minorEastAsia"/>
          <w:sz w:val="28"/>
          <w:szCs w:val="28"/>
        </w:rPr>
        <w:t>Ширыштык</w:t>
      </w:r>
      <w:proofErr w:type="spellEnd"/>
      <w:r w:rsidRPr="00DD252F">
        <w:rPr>
          <w:rFonts w:eastAsiaTheme="minorEastAsia"/>
          <w:sz w:val="28"/>
          <w:szCs w:val="28"/>
        </w:rPr>
        <w:t xml:space="preserve"> в с. </w:t>
      </w:r>
      <w:proofErr w:type="spellStart"/>
      <w:r w:rsidRPr="00DD252F">
        <w:rPr>
          <w:rFonts w:eastAsiaTheme="minorEastAsia"/>
          <w:sz w:val="28"/>
          <w:szCs w:val="28"/>
        </w:rPr>
        <w:t>Ширыштык</w:t>
      </w:r>
      <w:proofErr w:type="spellEnd"/>
      <w:r w:rsidRPr="00DD252F">
        <w:rPr>
          <w:rFonts w:eastAsiaTheme="minorEastAsia"/>
          <w:sz w:val="28"/>
          <w:szCs w:val="28"/>
        </w:rPr>
        <w:t xml:space="preserve"> – собственность администрации </w:t>
      </w:r>
      <w:proofErr w:type="spellStart"/>
      <w:r w:rsidRPr="00DD252F">
        <w:rPr>
          <w:rFonts w:eastAsiaTheme="minorEastAsia"/>
          <w:sz w:val="28"/>
          <w:szCs w:val="28"/>
        </w:rPr>
        <w:t>Амыльского</w:t>
      </w:r>
      <w:proofErr w:type="spellEnd"/>
      <w:r w:rsidRPr="00DD252F">
        <w:rPr>
          <w:rFonts w:eastAsiaTheme="minorEastAsia"/>
          <w:sz w:val="28"/>
          <w:szCs w:val="28"/>
        </w:rPr>
        <w:t xml:space="preserve"> сельсовета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3. ГТС на пруду «Таскинский»  </w:t>
      </w:r>
      <w:proofErr w:type="gramStart"/>
      <w:r w:rsidRPr="00DD252F">
        <w:rPr>
          <w:rFonts w:eastAsiaTheme="minorEastAsia"/>
          <w:sz w:val="28"/>
          <w:szCs w:val="28"/>
        </w:rPr>
        <w:t>в</w:t>
      </w:r>
      <w:proofErr w:type="gramEnd"/>
      <w:r w:rsidRPr="00DD252F">
        <w:rPr>
          <w:rFonts w:eastAsiaTheme="minorEastAsia"/>
          <w:sz w:val="28"/>
          <w:szCs w:val="28"/>
        </w:rPr>
        <w:t xml:space="preserve"> с. </w:t>
      </w:r>
      <w:proofErr w:type="spellStart"/>
      <w:r w:rsidRPr="00DD252F">
        <w:rPr>
          <w:rFonts w:eastAsiaTheme="minorEastAsia"/>
          <w:sz w:val="28"/>
          <w:szCs w:val="28"/>
        </w:rPr>
        <w:t>Таскино</w:t>
      </w:r>
      <w:proofErr w:type="spellEnd"/>
      <w:r w:rsidRPr="00DD252F">
        <w:rPr>
          <w:rFonts w:eastAsiaTheme="minorEastAsia"/>
          <w:sz w:val="28"/>
          <w:szCs w:val="28"/>
        </w:rPr>
        <w:t xml:space="preserve"> </w:t>
      </w:r>
      <w:proofErr w:type="gramStart"/>
      <w:r w:rsidRPr="00DD252F">
        <w:rPr>
          <w:rFonts w:eastAsiaTheme="minorEastAsia"/>
          <w:sz w:val="28"/>
          <w:szCs w:val="28"/>
        </w:rPr>
        <w:t>Каратузского</w:t>
      </w:r>
      <w:proofErr w:type="gramEnd"/>
      <w:r w:rsidRPr="00DD252F">
        <w:rPr>
          <w:rFonts w:eastAsiaTheme="minorEastAsia"/>
          <w:sz w:val="28"/>
          <w:szCs w:val="28"/>
        </w:rPr>
        <w:t xml:space="preserve"> района – собственность </w:t>
      </w:r>
      <w:proofErr w:type="spellStart"/>
      <w:r w:rsidRPr="00DD252F">
        <w:rPr>
          <w:rFonts w:eastAsiaTheme="minorEastAsia"/>
          <w:sz w:val="28"/>
          <w:szCs w:val="28"/>
        </w:rPr>
        <w:t>Таскинского</w:t>
      </w:r>
      <w:proofErr w:type="spellEnd"/>
      <w:r w:rsidRPr="00DD252F">
        <w:rPr>
          <w:rFonts w:eastAsiaTheme="minorEastAsia"/>
          <w:sz w:val="28"/>
          <w:szCs w:val="28"/>
        </w:rPr>
        <w:t xml:space="preserve"> сельсовета. </w:t>
      </w:r>
      <w:proofErr w:type="gramStart"/>
      <w:r w:rsidRPr="00DD252F">
        <w:rPr>
          <w:rFonts w:eastAsiaTheme="minorEastAsia"/>
          <w:sz w:val="28"/>
          <w:szCs w:val="28"/>
        </w:rPr>
        <w:t>Оформлен</w:t>
      </w:r>
      <w:proofErr w:type="gramEnd"/>
      <w:r w:rsidRPr="00DD252F">
        <w:rPr>
          <w:rFonts w:eastAsiaTheme="minorEastAsia"/>
          <w:sz w:val="28"/>
          <w:szCs w:val="28"/>
        </w:rPr>
        <w:t xml:space="preserve"> в 2012 году.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4. Пруд «Верхний </w:t>
      </w:r>
      <w:proofErr w:type="spellStart"/>
      <w:r w:rsidRPr="00DD252F">
        <w:rPr>
          <w:rFonts w:eastAsiaTheme="minorEastAsia"/>
          <w:sz w:val="28"/>
          <w:szCs w:val="28"/>
        </w:rPr>
        <w:t>Черемушинский</w:t>
      </w:r>
      <w:proofErr w:type="spellEnd"/>
      <w:r w:rsidRPr="00DD252F">
        <w:rPr>
          <w:rFonts w:eastAsiaTheme="minorEastAsia"/>
          <w:sz w:val="28"/>
          <w:szCs w:val="28"/>
        </w:rPr>
        <w:t xml:space="preserve">» на реке </w:t>
      </w:r>
      <w:proofErr w:type="spellStart"/>
      <w:r w:rsidRPr="00DD252F">
        <w:rPr>
          <w:rFonts w:eastAsiaTheme="minorEastAsia"/>
          <w:sz w:val="28"/>
          <w:szCs w:val="28"/>
        </w:rPr>
        <w:t>Черемушка</w:t>
      </w:r>
      <w:proofErr w:type="spellEnd"/>
      <w:r w:rsidRPr="00DD252F">
        <w:rPr>
          <w:rFonts w:eastAsiaTheme="minorEastAsia"/>
          <w:sz w:val="28"/>
          <w:szCs w:val="28"/>
        </w:rPr>
        <w:t xml:space="preserve"> в </w:t>
      </w:r>
      <w:proofErr w:type="spellStart"/>
      <w:r w:rsidRPr="00DD252F">
        <w:rPr>
          <w:rFonts w:eastAsiaTheme="minorEastAsia"/>
          <w:sz w:val="28"/>
          <w:szCs w:val="28"/>
        </w:rPr>
        <w:t>с</w:t>
      </w:r>
      <w:proofErr w:type="gramStart"/>
      <w:r w:rsidRPr="00DD252F">
        <w:rPr>
          <w:rFonts w:eastAsiaTheme="minorEastAsia"/>
          <w:sz w:val="28"/>
          <w:szCs w:val="28"/>
        </w:rPr>
        <w:t>.Ч</w:t>
      </w:r>
      <w:proofErr w:type="gramEnd"/>
      <w:r w:rsidRPr="00DD252F">
        <w:rPr>
          <w:rFonts w:eastAsiaTheme="minorEastAsia"/>
          <w:sz w:val="28"/>
          <w:szCs w:val="28"/>
        </w:rPr>
        <w:t>еремушка</w:t>
      </w:r>
      <w:proofErr w:type="spellEnd"/>
      <w:r w:rsidRPr="00DD252F">
        <w:rPr>
          <w:rFonts w:eastAsiaTheme="minorEastAsia"/>
          <w:sz w:val="28"/>
          <w:szCs w:val="28"/>
        </w:rPr>
        <w:t xml:space="preserve"> Каратузского района – собственность </w:t>
      </w:r>
      <w:proofErr w:type="spellStart"/>
      <w:r w:rsidRPr="00DD252F">
        <w:rPr>
          <w:rFonts w:eastAsiaTheme="minorEastAsia"/>
          <w:sz w:val="28"/>
          <w:szCs w:val="28"/>
        </w:rPr>
        <w:t>Черемушинского</w:t>
      </w:r>
      <w:proofErr w:type="spellEnd"/>
      <w:r w:rsidRPr="00DD252F">
        <w:rPr>
          <w:rFonts w:eastAsiaTheme="minorEastAsia"/>
          <w:sz w:val="28"/>
          <w:szCs w:val="28"/>
        </w:rPr>
        <w:t xml:space="preserve"> сельсовета. </w:t>
      </w:r>
      <w:proofErr w:type="gramStart"/>
      <w:r w:rsidRPr="00DD252F">
        <w:rPr>
          <w:rFonts w:eastAsiaTheme="minorEastAsia"/>
          <w:sz w:val="28"/>
          <w:szCs w:val="28"/>
        </w:rPr>
        <w:t>Оформлен</w:t>
      </w:r>
      <w:proofErr w:type="gramEnd"/>
      <w:r w:rsidRPr="00DD252F">
        <w:rPr>
          <w:rFonts w:eastAsiaTheme="minorEastAsia"/>
          <w:sz w:val="28"/>
          <w:szCs w:val="28"/>
        </w:rPr>
        <w:t xml:space="preserve"> в 2011 году.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5. Пруд «</w:t>
      </w:r>
      <w:proofErr w:type="spellStart"/>
      <w:r w:rsidRPr="00DD252F">
        <w:rPr>
          <w:rFonts w:eastAsiaTheme="minorEastAsia"/>
          <w:sz w:val="28"/>
          <w:szCs w:val="28"/>
        </w:rPr>
        <w:t>Шишковский</w:t>
      </w:r>
      <w:proofErr w:type="spellEnd"/>
      <w:r w:rsidRPr="00DD252F">
        <w:rPr>
          <w:rFonts w:eastAsiaTheme="minorEastAsia"/>
          <w:sz w:val="28"/>
          <w:szCs w:val="28"/>
        </w:rPr>
        <w:t xml:space="preserve">» у деревни </w:t>
      </w:r>
      <w:proofErr w:type="spellStart"/>
      <w:r w:rsidRPr="00DD252F">
        <w:rPr>
          <w:rFonts w:eastAsiaTheme="minorEastAsia"/>
          <w:sz w:val="28"/>
          <w:szCs w:val="28"/>
        </w:rPr>
        <w:t>Старомолино</w:t>
      </w:r>
      <w:proofErr w:type="spellEnd"/>
      <w:r w:rsidRPr="00DD252F">
        <w:rPr>
          <w:rFonts w:eastAsiaTheme="minorEastAsia"/>
          <w:sz w:val="28"/>
          <w:szCs w:val="28"/>
        </w:rPr>
        <w:t xml:space="preserve"> Каратузского района – собственность </w:t>
      </w:r>
      <w:proofErr w:type="spellStart"/>
      <w:r w:rsidRPr="00DD252F">
        <w:rPr>
          <w:rFonts w:eastAsiaTheme="minorEastAsia"/>
          <w:sz w:val="28"/>
          <w:szCs w:val="28"/>
        </w:rPr>
        <w:t>Черемушинского</w:t>
      </w:r>
      <w:proofErr w:type="spellEnd"/>
      <w:r w:rsidRPr="00DD252F">
        <w:rPr>
          <w:rFonts w:eastAsiaTheme="minorEastAsia"/>
          <w:sz w:val="28"/>
          <w:szCs w:val="28"/>
        </w:rPr>
        <w:t xml:space="preserve"> сельсовета. </w:t>
      </w:r>
      <w:proofErr w:type="gramStart"/>
      <w:r w:rsidRPr="00DD252F">
        <w:rPr>
          <w:rFonts w:eastAsiaTheme="minorEastAsia"/>
          <w:sz w:val="28"/>
          <w:szCs w:val="28"/>
        </w:rPr>
        <w:t>Оформлен</w:t>
      </w:r>
      <w:proofErr w:type="gramEnd"/>
      <w:r w:rsidRPr="00DD252F">
        <w:rPr>
          <w:rFonts w:eastAsiaTheme="minorEastAsia"/>
          <w:sz w:val="28"/>
          <w:szCs w:val="28"/>
        </w:rPr>
        <w:t xml:space="preserve"> в 2011 году.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6. Пруд «</w:t>
      </w:r>
      <w:proofErr w:type="spellStart"/>
      <w:r w:rsidRPr="00DD252F">
        <w:rPr>
          <w:rFonts w:eastAsiaTheme="minorEastAsia"/>
          <w:sz w:val="28"/>
          <w:szCs w:val="28"/>
        </w:rPr>
        <w:t>Пятилетский</w:t>
      </w:r>
      <w:proofErr w:type="spellEnd"/>
      <w:r w:rsidRPr="00DD252F">
        <w:rPr>
          <w:rFonts w:eastAsiaTheme="minorEastAsia"/>
          <w:sz w:val="28"/>
          <w:szCs w:val="28"/>
        </w:rPr>
        <w:t xml:space="preserve">» у деревни </w:t>
      </w:r>
      <w:proofErr w:type="spellStart"/>
      <w:r w:rsidRPr="00DD252F">
        <w:rPr>
          <w:rFonts w:eastAsiaTheme="minorEastAsia"/>
          <w:sz w:val="28"/>
          <w:szCs w:val="28"/>
        </w:rPr>
        <w:t>Старомолино</w:t>
      </w:r>
      <w:proofErr w:type="spellEnd"/>
      <w:r w:rsidRPr="00DD252F">
        <w:rPr>
          <w:rFonts w:eastAsiaTheme="minorEastAsia"/>
          <w:sz w:val="28"/>
          <w:szCs w:val="28"/>
        </w:rPr>
        <w:t xml:space="preserve"> Каратузского района – собственность </w:t>
      </w:r>
      <w:proofErr w:type="spellStart"/>
      <w:r w:rsidRPr="00DD252F">
        <w:rPr>
          <w:rFonts w:eastAsiaTheme="minorEastAsia"/>
          <w:sz w:val="28"/>
          <w:szCs w:val="28"/>
        </w:rPr>
        <w:t>Черемушинского</w:t>
      </w:r>
      <w:proofErr w:type="spellEnd"/>
      <w:r w:rsidRPr="00DD252F">
        <w:rPr>
          <w:rFonts w:eastAsiaTheme="minorEastAsia"/>
          <w:sz w:val="28"/>
          <w:szCs w:val="28"/>
        </w:rPr>
        <w:t xml:space="preserve"> сельсовета. </w:t>
      </w:r>
      <w:proofErr w:type="gramStart"/>
      <w:r w:rsidRPr="00DD252F">
        <w:rPr>
          <w:rFonts w:eastAsiaTheme="minorEastAsia"/>
          <w:sz w:val="28"/>
          <w:szCs w:val="28"/>
        </w:rPr>
        <w:t>Оформлен</w:t>
      </w:r>
      <w:proofErr w:type="gramEnd"/>
      <w:r w:rsidRPr="00DD252F">
        <w:rPr>
          <w:rFonts w:eastAsiaTheme="minorEastAsia"/>
          <w:sz w:val="28"/>
          <w:szCs w:val="28"/>
        </w:rPr>
        <w:t xml:space="preserve"> в 2011 году.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7. Пруд и плотина «</w:t>
      </w:r>
      <w:proofErr w:type="spellStart"/>
      <w:r w:rsidRPr="00DD252F">
        <w:rPr>
          <w:rFonts w:eastAsiaTheme="minorEastAsia"/>
          <w:sz w:val="28"/>
          <w:szCs w:val="28"/>
        </w:rPr>
        <w:t>Сагайский</w:t>
      </w:r>
      <w:proofErr w:type="spellEnd"/>
      <w:r w:rsidRPr="00DD252F">
        <w:rPr>
          <w:rFonts w:eastAsiaTheme="minorEastAsia"/>
          <w:sz w:val="28"/>
          <w:szCs w:val="28"/>
        </w:rPr>
        <w:t xml:space="preserve">» на реке </w:t>
      </w:r>
      <w:proofErr w:type="spellStart"/>
      <w:r w:rsidRPr="00DD252F">
        <w:rPr>
          <w:rFonts w:eastAsiaTheme="minorEastAsia"/>
          <w:sz w:val="28"/>
          <w:szCs w:val="28"/>
        </w:rPr>
        <w:t>Каратюга</w:t>
      </w:r>
      <w:proofErr w:type="spellEnd"/>
      <w:r w:rsidRPr="00DD252F">
        <w:rPr>
          <w:rFonts w:eastAsiaTheme="minorEastAsia"/>
          <w:sz w:val="28"/>
          <w:szCs w:val="28"/>
        </w:rPr>
        <w:t xml:space="preserve"> в с. </w:t>
      </w:r>
      <w:proofErr w:type="spellStart"/>
      <w:r w:rsidRPr="00DD252F">
        <w:rPr>
          <w:rFonts w:eastAsiaTheme="minorEastAsia"/>
          <w:sz w:val="28"/>
          <w:szCs w:val="28"/>
        </w:rPr>
        <w:t>Сагайское</w:t>
      </w:r>
      <w:proofErr w:type="spellEnd"/>
      <w:r w:rsidRPr="00DD252F">
        <w:rPr>
          <w:rFonts w:eastAsiaTheme="minorEastAsia"/>
          <w:sz w:val="28"/>
          <w:szCs w:val="28"/>
        </w:rPr>
        <w:t xml:space="preserve"> – собственность администрации </w:t>
      </w:r>
      <w:proofErr w:type="spellStart"/>
      <w:r w:rsidRPr="00DD252F">
        <w:rPr>
          <w:rFonts w:eastAsiaTheme="minorEastAsia"/>
          <w:sz w:val="28"/>
          <w:szCs w:val="28"/>
        </w:rPr>
        <w:t>Сагайского</w:t>
      </w:r>
      <w:proofErr w:type="spellEnd"/>
      <w:r w:rsidRPr="00DD252F">
        <w:rPr>
          <w:rFonts w:eastAsiaTheme="minorEastAsia"/>
          <w:sz w:val="28"/>
          <w:szCs w:val="28"/>
        </w:rPr>
        <w:t xml:space="preserve"> сельсовета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Водопользование:</w:t>
      </w:r>
    </w:p>
    <w:p w:rsidR="00F211EC" w:rsidRPr="00DD252F" w:rsidRDefault="00F211EC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lastRenderedPageBreak/>
        <w:t xml:space="preserve">Объем водопотребления (забрано воды) из природных источников по оценке 2024 года и в прогнозном периоде 2025-2027 гг. составит 286,43 тыс. куб. м. </w:t>
      </w:r>
    </w:p>
    <w:p w:rsidR="00F211EC" w:rsidRPr="00DD252F" w:rsidRDefault="00F211EC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Объем водопотребления (забрано воды) из подземных источников по оценке 2024 года и в прогнозном периоде 2025-2027 гг. составит 276,53 тыс. куб. м.</w:t>
      </w:r>
    </w:p>
    <w:p w:rsidR="00F211EC" w:rsidRPr="00DD252F" w:rsidRDefault="00F211EC" w:rsidP="00F211E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Объем использования воды, забранной из природных источников, используемой на производственные нужды по оценке 2024 года и в прогнозном периоде 2025-2027 гг. составит 12,19 тыс. куб. м.</w:t>
      </w:r>
    </w:p>
    <w:p w:rsidR="00F211EC" w:rsidRPr="00DD252F" w:rsidRDefault="00F211EC" w:rsidP="00F211E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Объем использования воды, забранной из природных источников, используемой на хозяйственно-питьевые нужды по оценке 2024 года и в прогнозном периоде 2025-2027 гг. составит 178,03 тыс. куб. м.</w:t>
      </w:r>
    </w:p>
    <w:p w:rsidR="00F211EC" w:rsidRPr="00DD252F" w:rsidRDefault="00F211EC" w:rsidP="00F211E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Объем оборотного и повторно-последовательного использования воды по оценке 2024 года и в прогнозном периоде 2025-2027 гг. составит 2649,60 тыс. куб. м.</w:t>
      </w:r>
    </w:p>
    <w:p w:rsidR="00F211EC" w:rsidRPr="00DD252F" w:rsidRDefault="00F211EC" w:rsidP="00F211E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Объем сброса загрязненных сточных вод (без очистки и недостаточно очищенных) в водные объекты, на рельеф, в подземные горизонты по оценке 2024 года и в прогнозном периоде 2025-2027 гг. составит 28,24 тыс. куб. м.</w:t>
      </w:r>
    </w:p>
    <w:p w:rsidR="00F211EC" w:rsidRPr="00DD252F" w:rsidRDefault="00F211EC" w:rsidP="00F211EC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Объем сброса загрязненных сточных вод в поверхностные водные объекты по оценке 2024 года и в прогнозном периоде 2025-2027 гг. составит 9,90 тыс. куб. м.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Выбросы в атмосферный воздух.</w:t>
      </w:r>
      <w:r w:rsidR="00F211EC" w:rsidRPr="00DD252F">
        <w:rPr>
          <w:rFonts w:eastAsiaTheme="minorEastAsia"/>
          <w:sz w:val="28"/>
          <w:szCs w:val="28"/>
        </w:rPr>
        <w:t xml:space="preserve"> 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Объем загрязняющих веществ, отходящих от стационарных источников загрязнения атмосферного воздуха</w:t>
      </w:r>
      <w:r w:rsidR="00C618A1" w:rsidRPr="00DD252F">
        <w:rPr>
          <w:rFonts w:eastAsiaTheme="minorEastAsia"/>
          <w:sz w:val="28"/>
          <w:szCs w:val="28"/>
        </w:rPr>
        <w:t>,</w:t>
      </w:r>
      <w:r w:rsidRPr="00DD252F">
        <w:rPr>
          <w:rFonts w:eastAsiaTheme="minorEastAsia"/>
          <w:sz w:val="28"/>
          <w:szCs w:val="28"/>
        </w:rPr>
        <w:t xml:space="preserve"> </w:t>
      </w:r>
      <w:r w:rsidR="00C618A1" w:rsidRPr="00DD252F">
        <w:rPr>
          <w:rFonts w:eastAsiaTheme="minorEastAsia"/>
          <w:sz w:val="28"/>
          <w:szCs w:val="28"/>
        </w:rPr>
        <w:t>по оценке</w:t>
      </w:r>
      <w:r w:rsidRPr="00DD252F">
        <w:rPr>
          <w:rFonts w:eastAsiaTheme="minorEastAsia"/>
          <w:sz w:val="28"/>
          <w:szCs w:val="28"/>
        </w:rPr>
        <w:t xml:space="preserve"> </w:t>
      </w:r>
      <w:r w:rsidR="00D15D34">
        <w:rPr>
          <w:rFonts w:eastAsiaTheme="minorEastAsia"/>
          <w:sz w:val="28"/>
          <w:szCs w:val="28"/>
        </w:rPr>
        <w:t xml:space="preserve">2024 года </w:t>
      </w:r>
      <w:r w:rsidRPr="00DD252F">
        <w:rPr>
          <w:rFonts w:eastAsiaTheme="minorEastAsia"/>
          <w:sz w:val="28"/>
          <w:szCs w:val="28"/>
        </w:rPr>
        <w:t>состави</w:t>
      </w:r>
      <w:r w:rsidR="00C618A1" w:rsidRPr="00DD252F">
        <w:rPr>
          <w:rFonts w:eastAsiaTheme="minorEastAsia"/>
          <w:sz w:val="28"/>
          <w:szCs w:val="28"/>
        </w:rPr>
        <w:t>т</w:t>
      </w:r>
      <w:r w:rsidRPr="00DD252F">
        <w:rPr>
          <w:rFonts w:eastAsiaTheme="minorEastAsia"/>
          <w:sz w:val="28"/>
          <w:szCs w:val="28"/>
        </w:rPr>
        <w:t xml:space="preserve"> 242,0 т. и на прогнозируемый период 2025-2027 гг. не планируется увеличение объема загрязняющих веществ, отходящих от стационарных источников загрязнения атмосферного воздух.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На территории Каратузского района мест массового захоронения химических, взрывчатых, токсических, отравляющих и других веществ нет. Имеются места массового захоронения отходов производства и потребления и скотомогильники.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Полигон твердых бытовых отходов </w:t>
      </w:r>
      <w:proofErr w:type="gramStart"/>
      <w:r w:rsidRPr="00DD252F">
        <w:rPr>
          <w:rFonts w:eastAsiaTheme="minorEastAsia"/>
          <w:sz w:val="28"/>
          <w:szCs w:val="28"/>
        </w:rPr>
        <w:t>в</w:t>
      </w:r>
      <w:proofErr w:type="gramEnd"/>
      <w:r w:rsidRPr="00DD252F">
        <w:rPr>
          <w:rFonts w:eastAsiaTheme="minorEastAsia"/>
          <w:sz w:val="28"/>
          <w:szCs w:val="28"/>
        </w:rPr>
        <w:t xml:space="preserve"> </w:t>
      </w:r>
      <w:proofErr w:type="gramStart"/>
      <w:r w:rsidRPr="00DD252F">
        <w:rPr>
          <w:rFonts w:eastAsiaTheme="minorEastAsia"/>
          <w:sz w:val="28"/>
          <w:szCs w:val="28"/>
        </w:rPr>
        <w:t>с</w:t>
      </w:r>
      <w:proofErr w:type="gramEnd"/>
      <w:r w:rsidRPr="00DD252F">
        <w:rPr>
          <w:rFonts w:eastAsiaTheme="minorEastAsia"/>
          <w:sz w:val="28"/>
          <w:szCs w:val="28"/>
        </w:rPr>
        <w:t xml:space="preserve">. Каратузское расположен в 1,5 км  юго-западнее с. Каратузское.  </w:t>
      </w:r>
      <w:proofErr w:type="gramStart"/>
      <w:r w:rsidRPr="00DD252F">
        <w:rPr>
          <w:rFonts w:eastAsiaTheme="minorEastAsia"/>
          <w:sz w:val="28"/>
          <w:szCs w:val="28"/>
        </w:rPr>
        <w:t>Предназначен</w:t>
      </w:r>
      <w:proofErr w:type="gramEnd"/>
      <w:r w:rsidRPr="00DD252F">
        <w:rPr>
          <w:rFonts w:eastAsiaTheme="minorEastAsia"/>
          <w:sz w:val="28"/>
          <w:szCs w:val="28"/>
        </w:rPr>
        <w:t xml:space="preserve"> для захоронения твердых бытовых отходов, доставляемых от жилых домов, общественных зданий, предприятий торговли, общественного питания, строительного мусора. 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Среднегодовое поступление ТБО составляет согласно выполненным расчётам 1121,96 м. куб в год. Расчетный срок эксплуатации полигона – 24 года, площадь полигона - 2,08 га. Схема складирования предусматривает устройство 3-х котлованов объёмом 1688 т. Каждый рассчитан на срок эксплуатации по 8 лет. Полигон построен в 2009 году, но в настоящее время не эксплуатируется.  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Скотомогильники.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На территории района расположено 2 скотомогильника: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lastRenderedPageBreak/>
        <w:t xml:space="preserve">- </w:t>
      </w:r>
      <w:proofErr w:type="gramStart"/>
      <w:r w:rsidRPr="00DD252F">
        <w:rPr>
          <w:rFonts w:eastAsiaTheme="minorEastAsia"/>
          <w:sz w:val="28"/>
          <w:szCs w:val="28"/>
        </w:rPr>
        <w:t>в</w:t>
      </w:r>
      <w:proofErr w:type="gramEnd"/>
      <w:r w:rsidRPr="00DD252F">
        <w:rPr>
          <w:rFonts w:eastAsiaTheme="minorEastAsia"/>
          <w:sz w:val="28"/>
          <w:szCs w:val="28"/>
        </w:rPr>
        <w:t xml:space="preserve"> </w:t>
      </w:r>
      <w:proofErr w:type="gramStart"/>
      <w:r w:rsidRPr="00DD252F">
        <w:rPr>
          <w:rFonts w:eastAsiaTheme="minorEastAsia"/>
          <w:sz w:val="28"/>
          <w:szCs w:val="28"/>
        </w:rPr>
        <w:t>с</w:t>
      </w:r>
      <w:proofErr w:type="gramEnd"/>
      <w:r w:rsidRPr="00DD252F">
        <w:rPr>
          <w:rFonts w:eastAsiaTheme="minorEastAsia"/>
          <w:sz w:val="28"/>
          <w:szCs w:val="28"/>
        </w:rPr>
        <w:t xml:space="preserve">. Каратузское в 1 км от населенного пункта, введен в эксплуатацию в 2009 году, разрешительная документация имеется, эксплуатируется в соответствии с экологическими, строительными и санитарными нормами и правилами, </w:t>
      </w:r>
      <w:proofErr w:type="spellStart"/>
      <w:r w:rsidRPr="00DD252F">
        <w:rPr>
          <w:rFonts w:eastAsiaTheme="minorEastAsia"/>
          <w:sz w:val="28"/>
          <w:szCs w:val="28"/>
        </w:rPr>
        <w:t>заполненность</w:t>
      </w:r>
      <w:proofErr w:type="spellEnd"/>
      <w:r w:rsidRPr="00DD252F">
        <w:rPr>
          <w:rFonts w:eastAsiaTheme="minorEastAsia"/>
          <w:sz w:val="28"/>
          <w:szCs w:val="28"/>
        </w:rPr>
        <w:t xml:space="preserve"> 40%. Площадь объекта захоронения биотермической ямы – 0,06 га, мощность объекта захоронения биотермической ямы – 18 т.</w:t>
      </w:r>
    </w:p>
    <w:p w:rsidR="00454B8F" w:rsidRPr="00DD252F" w:rsidRDefault="00454B8F" w:rsidP="00454B8F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 xml:space="preserve">- в д. </w:t>
      </w:r>
      <w:proofErr w:type="gramStart"/>
      <w:r w:rsidRPr="00DD252F">
        <w:rPr>
          <w:rFonts w:eastAsiaTheme="minorEastAsia"/>
          <w:sz w:val="28"/>
          <w:szCs w:val="28"/>
        </w:rPr>
        <w:t>Верхний</w:t>
      </w:r>
      <w:proofErr w:type="gramEnd"/>
      <w:r w:rsidRPr="00DD252F">
        <w:rPr>
          <w:rFonts w:eastAsiaTheme="minorEastAsia"/>
          <w:sz w:val="28"/>
          <w:szCs w:val="28"/>
        </w:rPr>
        <w:t xml:space="preserve"> </w:t>
      </w:r>
      <w:proofErr w:type="spellStart"/>
      <w:r w:rsidRPr="00DD252F">
        <w:rPr>
          <w:rFonts w:eastAsiaTheme="minorEastAsia"/>
          <w:sz w:val="28"/>
          <w:szCs w:val="28"/>
        </w:rPr>
        <w:t>Суэтук</w:t>
      </w:r>
      <w:proofErr w:type="spellEnd"/>
      <w:r w:rsidRPr="00DD252F">
        <w:rPr>
          <w:rFonts w:eastAsiaTheme="minorEastAsia"/>
          <w:sz w:val="28"/>
          <w:szCs w:val="28"/>
        </w:rPr>
        <w:t xml:space="preserve"> функционирует с 2007 года, разрешительная документация имеется, </w:t>
      </w:r>
      <w:proofErr w:type="spellStart"/>
      <w:r w:rsidRPr="00DD252F">
        <w:rPr>
          <w:rFonts w:eastAsiaTheme="minorEastAsia"/>
          <w:sz w:val="28"/>
          <w:szCs w:val="28"/>
        </w:rPr>
        <w:t>заполненность</w:t>
      </w:r>
      <w:proofErr w:type="spellEnd"/>
      <w:r w:rsidRPr="00DD252F">
        <w:rPr>
          <w:rFonts w:eastAsiaTheme="minorEastAsia"/>
          <w:sz w:val="28"/>
          <w:szCs w:val="28"/>
        </w:rPr>
        <w:t xml:space="preserve">  30%;</w:t>
      </w:r>
    </w:p>
    <w:p w:rsidR="00A95738" w:rsidRDefault="00454B8F" w:rsidP="00847335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DD252F">
        <w:rPr>
          <w:rFonts w:eastAsiaTheme="minorEastAsia"/>
          <w:sz w:val="28"/>
          <w:szCs w:val="28"/>
        </w:rPr>
        <w:t>Организации на территории Каратузского района, использующие отходы в качестве вторичных материальных ресурсов, отсутствуют. Из территории Каратузского района отходы вывозит региональный оператор на территорию Минусинского ра</w:t>
      </w:r>
      <w:r w:rsidR="001F761F">
        <w:rPr>
          <w:rFonts w:eastAsiaTheme="minorEastAsia"/>
          <w:sz w:val="28"/>
          <w:szCs w:val="28"/>
        </w:rPr>
        <w:t xml:space="preserve">йона, где и происходит </w:t>
      </w:r>
      <w:proofErr w:type="spellStart"/>
      <w:r w:rsidR="001F761F">
        <w:rPr>
          <w:rFonts w:eastAsiaTheme="minorEastAsia"/>
          <w:sz w:val="28"/>
          <w:szCs w:val="28"/>
        </w:rPr>
        <w:t>рециклинг</w:t>
      </w:r>
      <w:proofErr w:type="spellEnd"/>
      <w:r w:rsidR="00A95738">
        <w:rPr>
          <w:rFonts w:eastAsiaTheme="minorEastAsia"/>
          <w:sz w:val="28"/>
          <w:szCs w:val="28"/>
        </w:rPr>
        <w:t>.</w:t>
      </w:r>
    </w:p>
    <w:sectPr w:rsidR="00A95738" w:rsidSect="00847335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591" w:rsidRDefault="00631591" w:rsidP="00515F5F">
      <w:r>
        <w:separator/>
      </w:r>
    </w:p>
  </w:endnote>
  <w:endnote w:type="continuationSeparator" w:id="0">
    <w:p w:rsidR="00631591" w:rsidRDefault="00631591" w:rsidP="0051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322594"/>
      <w:docPartObj>
        <w:docPartGallery w:val="Page Numbers (Bottom of Page)"/>
        <w:docPartUnique/>
      </w:docPartObj>
    </w:sdtPr>
    <w:sdtEndPr/>
    <w:sdtContent>
      <w:p w:rsidR="00F211EC" w:rsidRDefault="00F211E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075">
          <w:rPr>
            <w:noProof/>
          </w:rPr>
          <w:t>31</w:t>
        </w:r>
        <w:r>
          <w:fldChar w:fldCharType="end"/>
        </w:r>
      </w:p>
    </w:sdtContent>
  </w:sdt>
  <w:p w:rsidR="00F211EC" w:rsidRDefault="00F211E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591" w:rsidRDefault="00631591" w:rsidP="00515F5F">
      <w:r>
        <w:separator/>
      </w:r>
    </w:p>
  </w:footnote>
  <w:footnote w:type="continuationSeparator" w:id="0">
    <w:p w:rsidR="00631591" w:rsidRDefault="00631591" w:rsidP="00515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43D98"/>
    <w:multiLevelType w:val="singleLevel"/>
    <w:tmpl w:val="FF30A0A0"/>
    <w:lvl w:ilvl="0">
      <w:start w:val="1"/>
      <w:numFmt w:val="decimal"/>
      <w:lvlText w:val="%1."/>
      <w:legacy w:legacy="1" w:legacySpace="0" w:legacyIndent="540"/>
      <w:lvlJc w:val="left"/>
      <w:rPr>
        <w:rFonts w:ascii="Times New Roman CYR" w:hAnsi="Times New Roman CYR" w:cs="Times New Roman CYR" w:hint="default"/>
      </w:rPr>
    </w:lvl>
  </w:abstractNum>
  <w:abstractNum w:abstractNumId="1">
    <w:nsid w:val="46C36968"/>
    <w:multiLevelType w:val="hybridMultilevel"/>
    <w:tmpl w:val="0C3CD4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72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90"/>
    <w:rsid w:val="0000118E"/>
    <w:rsid w:val="00001AF4"/>
    <w:rsid w:val="000028D0"/>
    <w:rsid w:val="00003EF7"/>
    <w:rsid w:val="00004E01"/>
    <w:rsid w:val="00005EBE"/>
    <w:rsid w:val="00010001"/>
    <w:rsid w:val="00010D53"/>
    <w:rsid w:val="00011BE1"/>
    <w:rsid w:val="000129EF"/>
    <w:rsid w:val="00012F3E"/>
    <w:rsid w:val="00013333"/>
    <w:rsid w:val="00013FAF"/>
    <w:rsid w:val="000153BF"/>
    <w:rsid w:val="00020556"/>
    <w:rsid w:val="00021C9A"/>
    <w:rsid w:val="000229F9"/>
    <w:rsid w:val="00022E9D"/>
    <w:rsid w:val="0002365F"/>
    <w:rsid w:val="00027AF1"/>
    <w:rsid w:val="000324F9"/>
    <w:rsid w:val="00032D0B"/>
    <w:rsid w:val="000334E3"/>
    <w:rsid w:val="00036FC1"/>
    <w:rsid w:val="0004374A"/>
    <w:rsid w:val="00043A5C"/>
    <w:rsid w:val="000469F5"/>
    <w:rsid w:val="00047E2A"/>
    <w:rsid w:val="000527E5"/>
    <w:rsid w:val="00052828"/>
    <w:rsid w:val="00057CC6"/>
    <w:rsid w:val="00063E73"/>
    <w:rsid w:val="000646CA"/>
    <w:rsid w:val="000652AC"/>
    <w:rsid w:val="0006561E"/>
    <w:rsid w:val="0006578E"/>
    <w:rsid w:val="00066416"/>
    <w:rsid w:val="00067D02"/>
    <w:rsid w:val="000727B9"/>
    <w:rsid w:val="000752BA"/>
    <w:rsid w:val="000757A8"/>
    <w:rsid w:val="00075F22"/>
    <w:rsid w:val="000776C2"/>
    <w:rsid w:val="0008087B"/>
    <w:rsid w:val="000819F9"/>
    <w:rsid w:val="0008472C"/>
    <w:rsid w:val="000861E1"/>
    <w:rsid w:val="0008621C"/>
    <w:rsid w:val="00087C63"/>
    <w:rsid w:val="0009146F"/>
    <w:rsid w:val="0009253A"/>
    <w:rsid w:val="00093C78"/>
    <w:rsid w:val="00097DCC"/>
    <w:rsid w:val="000A0E2F"/>
    <w:rsid w:val="000A1B6B"/>
    <w:rsid w:val="000A24B4"/>
    <w:rsid w:val="000A2CB7"/>
    <w:rsid w:val="000A2E8E"/>
    <w:rsid w:val="000A74AE"/>
    <w:rsid w:val="000B0EF1"/>
    <w:rsid w:val="000B1DE2"/>
    <w:rsid w:val="000B1EFF"/>
    <w:rsid w:val="000B2C4E"/>
    <w:rsid w:val="000B4C7D"/>
    <w:rsid w:val="000B51DA"/>
    <w:rsid w:val="000B6A82"/>
    <w:rsid w:val="000B7105"/>
    <w:rsid w:val="000C0C86"/>
    <w:rsid w:val="000C2DC7"/>
    <w:rsid w:val="000C3B17"/>
    <w:rsid w:val="000C595E"/>
    <w:rsid w:val="000C6644"/>
    <w:rsid w:val="000C6FAB"/>
    <w:rsid w:val="000D0B8B"/>
    <w:rsid w:val="000D27AD"/>
    <w:rsid w:val="000D3409"/>
    <w:rsid w:val="000D3CF3"/>
    <w:rsid w:val="000D4076"/>
    <w:rsid w:val="000D730E"/>
    <w:rsid w:val="000D7EF7"/>
    <w:rsid w:val="000E175E"/>
    <w:rsid w:val="000E2462"/>
    <w:rsid w:val="000E27B6"/>
    <w:rsid w:val="000E333F"/>
    <w:rsid w:val="000E3F18"/>
    <w:rsid w:val="000E4C3B"/>
    <w:rsid w:val="000E5B35"/>
    <w:rsid w:val="000F1C99"/>
    <w:rsid w:val="000F25DE"/>
    <w:rsid w:val="000F3184"/>
    <w:rsid w:val="000F397A"/>
    <w:rsid w:val="000F3D49"/>
    <w:rsid w:val="000F42DD"/>
    <w:rsid w:val="000F5803"/>
    <w:rsid w:val="000F73EA"/>
    <w:rsid w:val="0010294C"/>
    <w:rsid w:val="00102A50"/>
    <w:rsid w:val="00102E7C"/>
    <w:rsid w:val="00103B11"/>
    <w:rsid w:val="00104AF6"/>
    <w:rsid w:val="00110390"/>
    <w:rsid w:val="00110750"/>
    <w:rsid w:val="00111870"/>
    <w:rsid w:val="00112C9A"/>
    <w:rsid w:val="00117EFB"/>
    <w:rsid w:val="00122D00"/>
    <w:rsid w:val="00124638"/>
    <w:rsid w:val="001248B4"/>
    <w:rsid w:val="00124BC9"/>
    <w:rsid w:val="00125548"/>
    <w:rsid w:val="0012682E"/>
    <w:rsid w:val="00131017"/>
    <w:rsid w:val="00131A5D"/>
    <w:rsid w:val="00132B9A"/>
    <w:rsid w:val="0013333D"/>
    <w:rsid w:val="00135658"/>
    <w:rsid w:val="001357B5"/>
    <w:rsid w:val="00135894"/>
    <w:rsid w:val="001359BE"/>
    <w:rsid w:val="00136B7B"/>
    <w:rsid w:val="00137FEF"/>
    <w:rsid w:val="0014094A"/>
    <w:rsid w:val="001412EC"/>
    <w:rsid w:val="001426BA"/>
    <w:rsid w:val="00143A2B"/>
    <w:rsid w:val="00144C55"/>
    <w:rsid w:val="0014588C"/>
    <w:rsid w:val="001469CC"/>
    <w:rsid w:val="00147786"/>
    <w:rsid w:val="00147F3C"/>
    <w:rsid w:val="00150F42"/>
    <w:rsid w:val="00152AA7"/>
    <w:rsid w:val="001568B4"/>
    <w:rsid w:val="00156DED"/>
    <w:rsid w:val="0015725A"/>
    <w:rsid w:val="00160949"/>
    <w:rsid w:val="00160C06"/>
    <w:rsid w:val="0016233B"/>
    <w:rsid w:val="001627C0"/>
    <w:rsid w:val="00163A42"/>
    <w:rsid w:val="0016436B"/>
    <w:rsid w:val="001654BC"/>
    <w:rsid w:val="00165F16"/>
    <w:rsid w:val="00173E76"/>
    <w:rsid w:val="001765D2"/>
    <w:rsid w:val="00177604"/>
    <w:rsid w:val="00177A01"/>
    <w:rsid w:val="0018158C"/>
    <w:rsid w:val="001819BA"/>
    <w:rsid w:val="001823DF"/>
    <w:rsid w:val="001828C9"/>
    <w:rsid w:val="0018624A"/>
    <w:rsid w:val="00186376"/>
    <w:rsid w:val="00186E9C"/>
    <w:rsid w:val="00190465"/>
    <w:rsid w:val="00190D97"/>
    <w:rsid w:val="001919E5"/>
    <w:rsid w:val="00191F92"/>
    <w:rsid w:val="00193567"/>
    <w:rsid w:val="00193FA9"/>
    <w:rsid w:val="00194959"/>
    <w:rsid w:val="00195206"/>
    <w:rsid w:val="001976E4"/>
    <w:rsid w:val="001A2093"/>
    <w:rsid w:val="001A2A6A"/>
    <w:rsid w:val="001A2E62"/>
    <w:rsid w:val="001A3C4B"/>
    <w:rsid w:val="001A7253"/>
    <w:rsid w:val="001A78CE"/>
    <w:rsid w:val="001A7EE5"/>
    <w:rsid w:val="001A7F32"/>
    <w:rsid w:val="001B0DF1"/>
    <w:rsid w:val="001B125E"/>
    <w:rsid w:val="001B4AA6"/>
    <w:rsid w:val="001B6535"/>
    <w:rsid w:val="001B6860"/>
    <w:rsid w:val="001B712D"/>
    <w:rsid w:val="001B72E5"/>
    <w:rsid w:val="001C0077"/>
    <w:rsid w:val="001C2CEA"/>
    <w:rsid w:val="001C2EDB"/>
    <w:rsid w:val="001C5BBC"/>
    <w:rsid w:val="001C68A6"/>
    <w:rsid w:val="001C696C"/>
    <w:rsid w:val="001D0046"/>
    <w:rsid w:val="001D0365"/>
    <w:rsid w:val="001D0815"/>
    <w:rsid w:val="001D1291"/>
    <w:rsid w:val="001D1A23"/>
    <w:rsid w:val="001D5754"/>
    <w:rsid w:val="001E06B9"/>
    <w:rsid w:val="001E3219"/>
    <w:rsid w:val="001E4E93"/>
    <w:rsid w:val="001E5EDB"/>
    <w:rsid w:val="001E618C"/>
    <w:rsid w:val="001E6B97"/>
    <w:rsid w:val="001F00D1"/>
    <w:rsid w:val="001F1B79"/>
    <w:rsid w:val="001F1F38"/>
    <w:rsid w:val="001F37B8"/>
    <w:rsid w:val="001F3C07"/>
    <w:rsid w:val="001F45D6"/>
    <w:rsid w:val="001F6072"/>
    <w:rsid w:val="001F70A3"/>
    <w:rsid w:val="001F761F"/>
    <w:rsid w:val="0020033A"/>
    <w:rsid w:val="002018F7"/>
    <w:rsid w:val="0020190C"/>
    <w:rsid w:val="002020F9"/>
    <w:rsid w:val="00202185"/>
    <w:rsid w:val="00202302"/>
    <w:rsid w:val="00202B07"/>
    <w:rsid w:val="00202CFD"/>
    <w:rsid w:val="00203E3C"/>
    <w:rsid w:val="0020407D"/>
    <w:rsid w:val="00204583"/>
    <w:rsid w:val="002058AE"/>
    <w:rsid w:val="00205AA4"/>
    <w:rsid w:val="0020673E"/>
    <w:rsid w:val="00206A16"/>
    <w:rsid w:val="0021038C"/>
    <w:rsid w:val="00211498"/>
    <w:rsid w:val="00213A65"/>
    <w:rsid w:val="00216F8D"/>
    <w:rsid w:val="00217DA2"/>
    <w:rsid w:val="00220AFA"/>
    <w:rsid w:val="00220BF6"/>
    <w:rsid w:val="00220C8F"/>
    <w:rsid w:val="002224D7"/>
    <w:rsid w:val="00223481"/>
    <w:rsid w:val="00226366"/>
    <w:rsid w:val="00226645"/>
    <w:rsid w:val="0023175F"/>
    <w:rsid w:val="00233BB5"/>
    <w:rsid w:val="00234B94"/>
    <w:rsid w:val="00235CC1"/>
    <w:rsid w:val="002365D8"/>
    <w:rsid w:val="00236B44"/>
    <w:rsid w:val="00237219"/>
    <w:rsid w:val="002403B7"/>
    <w:rsid w:val="00241283"/>
    <w:rsid w:val="00241956"/>
    <w:rsid w:val="00241C6C"/>
    <w:rsid w:val="0024205B"/>
    <w:rsid w:val="00242E6A"/>
    <w:rsid w:val="00243637"/>
    <w:rsid w:val="002436C1"/>
    <w:rsid w:val="00243C1B"/>
    <w:rsid w:val="0024510C"/>
    <w:rsid w:val="002461DF"/>
    <w:rsid w:val="00247771"/>
    <w:rsid w:val="00252C97"/>
    <w:rsid w:val="00254560"/>
    <w:rsid w:val="0025463D"/>
    <w:rsid w:val="002549C1"/>
    <w:rsid w:val="00255949"/>
    <w:rsid w:val="00261C6F"/>
    <w:rsid w:val="00265B80"/>
    <w:rsid w:val="00266163"/>
    <w:rsid w:val="002665A9"/>
    <w:rsid w:val="0027019C"/>
    <w:rsid w:val="00270432"/>
    <w:rsid w:val="00270E76"/>
    <w:rsid w:val="002715AD"/>
    <w:rsid w:val="00271730"/>
    <w:rsid w:val="00274FAE"/>
    <w:rsid w:val="002750C6"/>
    <w:rsid w:val="002769F0"/>
    <w:rsid w:val="00277165"/>
    <w:rsid w:val="00277D0D"/>
    <w:rsid w:val="002820F0"/>
    <w:rsid w:val="00282B25"/>
    <w:rsid w:val="00285E7B"/>
    <w:rsid w:val="00286079"/>
    <w:rsid w:val="00286F45"/>
    <w:rsid w:val="0029426F"/>
    <w:rsid w:val="00294CC6"/>
    <w:rsid w:val="002960E9"/>
    <w:rsid w:val="00296822"/>
    <w:rsid w:val="00296880"/>
    <w:rsid w:val="00296E71"/>
    <w:rsid w:val="00297E20"/>
    <w:rsid w:val="002A0FA8"/>
    <w:rsid w:val="002A1B6D"/>
    <w:rsid w:val="002A2B43"/>
    <w:rsid w:val="002A6E19"/>
    <w:rsid w:val="002A7C2D"/>
    <w:rsid w:val="002B0984"/>
    <w:rsid w:val="002B0A39"/>
    <w:rsid w:val="002B134C"/>
    <w:rsid w:val="002B47F7"/>
    <w:rsid w:val="002C0192"/>
    <w:rsid w:val="002C0368"/>
    <w:rsid w:val="002C0434"/>
    <w:rsid w:val="002C116E"/>
    <w:rsid w:val="002C18DF"/>
    <w:rsid w:val="002C22BE"/>
    <w:rsid w:val="002C25D2"/>
    <w:rsid w:val="002C3E12"/>
    <w:rsid w:val="002C7B02"/>
    <w:rsid w:val="002D16DD"/>
    <w:rsid w:val="002D1C97"/>
    <w:rsid w:val="002D231A"/>
    <w:rsid w:val="002D2D44"/>
    <w:rsid w:val="002D32A2"/>
    <w:rsid w:val="002E15C2"/>
    <w:rsid w:val="002E1F7B"/>
    <w:rsid w:val="002E441F"/>
    <w:rsid w:val="002E46DF"/>
    <w:rsid w:val="002E48FB"/>
    <w:rsid w:val="002E7364"/>
    <w:rsid w:val="002E7883"/>
    <w:rsid w:val="002F24AD"/>
    <w:rsid w:val="002F2657"/>
    <w:rsid w:val="002F272B"/>
    <w:rsid w:val="002F410F"/>
    <w:rsid w:val="002F482C"/>
    <w:rsid w:val="002F58B8"/>
    <w:rsid w:val="003024FB"/>
    <w:rsid w:val="003049B9"/>
    <w:rsid w:val="00305005"/>
    <w:rsid w:val="00307CC6"/>
    <w:rsid w:val="00307E4F"/>
    <w:rsid w:val="003131BB"/>
    <w:rsid w:val="003131C3"/>
    <w:rsid w:val="00313384"/>
    <w:rsid w:val="00315703"/>
    <w:rsid w:val="00316AC1"/>
    <w:rsid w:val="00316F53"/>
    <w:rsid w:val="003177B5"/>
    <w:rsid w:val="00320083"/>
    <w:rsid w:val="00320720"/>
    <w:rsid w:val="00321689"/>
    <w:rsid w:val="00321B88"/>
    <w:rsid w:val="00321CBF"/>
    <w:rsid w:val="00322081"/>
    <w:rsid w:val="00322715"/>
    <w:rsid w:val="0032310E"/>
    <w:rsid w:val="00323B94"/>
    <w:rsid w:val="0032688A"/>
    <w:rsid w:val="00327669"/>
    <w:rsid w:val="0033147A"/>
    <w:rsid w:val="00331A51"/>
    <w:rsid w:val="00332106"/>
    <w:rsid w:val="00337824"/>
    <w:rsid w:val="003379E6"/>
    <w:rsid w:val="00342290"/>
    <w:rsid w:val="003428FE"/>
    <w:rsid w:val="00344143"/>
    <w:rsid w:val="003446F5"/>
    <w:rsid w:val="00344B54"/>
    <w:rsid w:val="003461CA"/>
    <w:rsid w:val="0035033B"/>
    <w:rsid w:val="00350459"/>
    <w:rsid w:val="00351C05"/>
    <w:rsid w:val="00352D20"/>
    <w:rsid w:val="00353BAE"/>
    <w:rsid w:val="00355019"/>
    <w:rsid w:val="003552A8"/>
    <w:rsid w:val="0036128F"/>
    <w:rsid w:val="003642ED"/>
    <w:rsid w:val="00364642"/>
    <w:rsid w:val="00364774"/>
    <w:rsid w:val="00365F89"/>
    <w:rsid w:val="00366F91"/>
    <w:rsid w:val="00367746"/>
    <w:rsid w:val="00373C93"/>
    <w:rsid w:val="003756F6"/>
    <w:rsid w:val="0037576D"/>
    <w:rsid w:val="00375C54"/>
    <w:rsid w:val="003760DB"/>
    <w:rsid w:val="00377A09"/>
    <w:rsid w:val="00381524"/>
    <w:rsid w:val="00382E25"/>
    <w:rsid w:val="00382E4A"/>
    <w:rsid w:val="00384BBD"/>
    <w:rsid w:val="00385A85"/>
    <w:rsid w:val="00385F28"/>
    <w:rsid w:val="003879EA"/>
    <w:rsid w:val="00392F02"/>
    <w:rsid w:val="0039351F"/>
    <w:rsid w:val="00393DFF"/>
    <w:rsid w:val="00396FF6"/>
    <w:rsid w:val="003A3135"/>
    <w:rsid w:val="003A3331"/>
    <w:rsid w:val="003A5BCE"/>
    <w:rsid w:val="003A696A"/>
    <w:rsid w:val="003A6AAA"/>
    <w:rsid w:val="003B00CD"/>
    <w:rsid w:val="003B1DDA"/>
    <w:rsid w:val="003B27BB"/>
    <w:rsid w:val="003B2A52"/>
    <w:rsid w:val="003B2CDB"/>
    <w:rsid w:val="003B3841"/>
    <w:rsid w:val="003B4377"/>
    <w:rsid w:val="003B7EDE"/>
    <w:rsid w:val="003C0828"/>
    <w:rsid w:val="003C1F75"/>
    <w:rsid w:val="003C3186"/>
    <w:rsid w:val="003C3DEF"/>
    <w:rsid w:val="003C4762"/>
    <w:rsid w:val="003D1D54"/>
    <w:rsid w:val="003D3302"/>
    <w:rsid w:val="003D34A5"/>
    <w:rsid w:val="003D423C"/>
    <w:rsid w:val="003D4C95"/>
    <w:rsid w:val="003D6DA5"/>
    <w:rsid w:val="003D7469"/>
    <w:rsid w:val="003D76C6"/>
    <w:rsid w:val="003D7B67"/>
    <w:rsid w:val="003E1F7B"/>
    <w:rsid w:val="003E22A5"/>
    <w:rsid w:val="003E4603"/>
    <w:rsid w:val="003E4692"/>
    <w:rsid w:val="003E4CE4"/>
    <w:rsid w:val="003E5997"/>
    <w:rsid w:val="003E6588"/>
    <w:rsid w:val="003E69BB"/>
    <w:rsid w:val="003E6BDF"/>
    <w:rsid w:val="003F1C2F"/>
    <w:rsid w:val="003F3542"/>
    <w:rsid w:val="003F3AF9"/>
    <w:rsid w:val="003F52AA"/>
    <w:rsid w:val="003F5C33"/>
    <w:rsid w:val="003F7EDC"/>
    <w:rsid w:val="003F7FA8"/>
    <w:rsid w:val="00400AFF"/>
    <w:rsid w:val="00401433"/>
    <w:rsid w:val="00402C66"/>
    <w:rsid w:val="00404F18"/>
    <w:rsid w:val="00406739"/>
    <w:rsid w:val="004075FA"/>
    <w:rsid w:val="004105BC"/>
    <w:rsid w:val="00412D70"/>
    <w:rsid w:val="00413C9B"/>
    <w:rsid w:val="00416514"/>
    <w:rsid w:val="004204A5"/>
    <w:rsid w:val="00421F1E"/>
    <w:rsid w:val="00422E06"/>
    <w:rsid w:val="004235B0"/>
    <w:rsid w:val="00423B10"/>
    <w:rsid w:val="004242E3"/>
    <w:rsid w:val="00426D33"/>
    <w:rsid w:val="00426F8C"/>
    <w:rsid w:val="0042761E"/>
    <w:rsid w:val="00432591"/>
    <w:rsid w:val="00432B4E"/>
    <w:rsid w:val="0043476E"/>
    <w:rsid w:val="0043566E"/>
    <w:rsid w:val="004360EE"/>
    <w:rsid w:val="00436569"/>
    <w:rsid w:val="00437364"/>
    <w:rsid w:val="00437F6F"/>
    <w:rsid w:val="00442552"/>
    <w:rsid w:val="0044267B"/>
    <w:rsid w:val="00442A15"/>
    <w:rsid w:val="00444353"/>
    <w:rsid w:val="004444C5"/>
    <w:rsid w:val="00450FB2"/>
    <w:rsid w:val="00452AC1"/>
    <w:rsid w:val="00454B8F"/>
    <w:rsid w:val="0045584E"/>
    <w:rsid w:val="00455908"/>
    <w:rsid w:val="004567E2"/>
    <w:rsid w:val="00456A43"/>
    <w:rsid w:val="00456CC9"/>
    <w:rsid w:val="004614F2"/>
    <w:rsid w:val="00464E47"/>
    <w:rsid w:val="00464E68"/>
    <w:rsid w:val="00466091"/>
    <w:rsid w:val="00467072"/>
    <w:rsid w:val="00472380"/>
    <w:rsid w:val="00472DAC"/>
    <w:rsid w:val="00476E35"/>
    <w:rsid w:val="0047799A"/>
    <w:rsid w:val="00480737"/>
    <w:rsid w:val="00481FC8"/>
    <w:rsid w:val="004827B3"/>
    <w:rsid w:val="004841E7"/>
    <w:rsid w:val="004862E9"/>
    <w:rsid w:val="00486CD1"/>
    <w:rsid w:val="00490108"/>
    <w:rsid w:val="004906BF"/>
    <w:rsid w:val="00490746"/>
    <w:rsid w:val="00492607"/>
    <w:rsid w:val="0049271B"/>
    <w:rsid w:val="00493395"/>
    <w:rsid w:val="00493ABB"/>
    <w:rsid w:val="00494642"/>
    <w:rsid w:val="004953CD"/>
    <w:rsid w:val="00495DB3"/>
    <w:rsid w:val="00497EAB"/>
    <w:rsid w:val="004A3F90"/>
    <w:rsid w:val="004A5A1A"/>
    <w:rsid w:val="004A7B7A"/>
    <w:rsid w:val="004B0373"/>
    <w:rsid w:val="004B4E33"/>
    <w:rsid w:val="004B4F3B"/>
    <w:rsid w:val="004B5462"/>
    <w:rsid w:val="004B594E"/>
    <w:rsid w:val="004B61BD"/>
    <w:rsid w:val="004C172F"/>
    <w:rsid w:val="004C1F80"/>
    <w:rsid w:val="004C217E"/>
    <w:rsid w:val="004C3031"/>
    <w:rsid w:val="004C349E"/>
    <w:rsid w:val="004C50FB"/>
    <w:rsid w:val="004D0DE8"/>
    <w:rsid w:val="004D1E33"/>
    <w:rsid w:val="004D2217"/>
    <w:rsid w:val="004D4C78"/>
    <w:rsid w:val="004D4CE3"/>
    <w:rsid w:val="004D5F75"/>
    <w:rsid w:val="004D62F3"/>
    <w:rsid w:val="004D6FBE"/>
    <w:rsid w:val="004E1034"/>
    <w:rsid w:val="004E28E7"/>
    <w:rsid w:val="004E2EC9"/>
    <w:rsid w:val="004E598E"/>
    <w:rsid w:val="004E7653"/>
    <w:rsid w:val="004F013B"/>
    <w:rsid w:val="004F3D74"/>
    <w:rsid w:val="004F5E03"/>
    <w:rsid w:val="004F6FD6"/>
    <w:rsid w:val="00502DBB"/>
    <w:rsid w:val="00503462"/>
    <w:rsid w:val="00504C9A"/>
    <w:rsid w:val="00505EB0"/>
    <w:rsid w:val="00506125"/>
    <w:rsid w:val="0051040B"/>
    <w:rsid w:val="005117AB"/>
    <w:rsid w:val="00512A30"/>
    <w:rsid w:val="0051379C"/>
    <w:rsid w:val="00513B1E"/>
    <w:rsid w:val="00514A11"/>
    <w:rsid w:val="00514E59"/>
    <w:rsid w:val="00515A08"/>
    <w:rsid w:val="00515F5F"/>
    <w:rsid w:val="00516197"/>
    <w:rsid w:val="005166F9"/>
    <w:rsid w:val="00516C6E"/>
    <w:rsid w:val="005175B2"/>
    <w:rsid w:val="005203F8"/>
    <w:rsid w:val="00521986"/>
    <w:rsid w:val="005236F4"/>
    <w:rsid w:val="005238BB"/>
    <w:rsid w:val="00526E43"/>
    <w:rsid w:val="00527152"/>
    <w:rsid w:val="0052764C"/>
    <w:rsid w:val="00527983"/>
    <w:rsid w:val="005303D8"/>
    <w:rsid w:val="00531531"/>
    <w:rsid w:val="00531744"/>
    <w:rsid w:val="005324E1"/>
    <w:rsid w:val="00532B4C"/>
    <w:rsid w:val="00532FA4"/>
    <w:rsid w:val="00536C63"/>
    <w:rsid w:val="00540A2A"/>
    <w:rsid w:val="00540B13"/>
    <w:rsid w:val="00542123"/>
    <w:rsid w:val="00546666"/>
    <w:rsid w:val="00547272"/>
    <w:rsid w:val="005474F6"/>
    <w:rsid w:val="0055121D"/>
    <w:rsid w:val="00551A59"/>
    <w:rsid w:val="00553092"/>
    <w:rsid w:val="00554905"/>
    <w:rsid w:val="00555B34"/>
    <w:rsid w:val="00556DD0"/>
    <w:rsid w:val="00561C77"/>
    <w:rsid w:val="005636FF"/>
    <w:rsid w:val="00564891"/>
    <w:rsid w:val="00564BC1"/>
    <w:rsid w:val="00566CD9"/>
    <w:rsid w:val="0056776D"/>
    <w:rsid w:val="00570CEE"/>
    <w:rsid w:val="00571AEA"/>
    <w:rsid w:val="00574590"/>
    <w:rsid w:val="00575653"/>
    <w:rsid w:val="0057612D"/>
    <w:rsid w:val="005776EF"/>
    <w:rsid w:val="00577C48"/>
    <w:rsid w:val="00580AA2"/>
    <w:rsid w:val="005832FC"/>
    <w:rsid w:val="005871DC"/>
    <w:rsid w:val="0059003F"/>
    <w:rsid w:val="00590E4B"/>
    <w:rsid w:val="0059537D"/>
    <w:rsid w:val="005970C7"/>
    <w:rsid w:val="005A0AC3"/>
    <w:rsid w:val="005A375D"/>
    <w:rsid w:val="005A4C8F"/>
    <w:rsid w:val="005A634E"/>
    <w:rsid w:val="005A6A23"/>
    <w:rsid w:val="005B2428"/>
    <w:rsid w:val="005B2779"/>
    <w:rsid w:val="005B3534"/>
    <w:rsid w:val="005B35FB"/>
    <w:rsid w:val="005B4260"/>
    <w:rsid w:val="005B4A28"/>
    <w:rsid w:val="005B6C43"/>
    <w:rsid w:val="005B6D62"/>
    <w:rsid w:val="005B73C8"/>
    <w:rsid w:val="005B78C7"/>
    <w:rsid w:val="005C05B3"/>
    <w:rsid w:val="005C4E98"/>
    <w:rsid w:val="005C5D46"/>
    <w:rsid w:val="005C6CD9"/>
    <w:rsid w:val="005C7E06"/>
    <w:rsid w:val="005D00A4"/>
    <w:rsid w:val="005D1002"/>
    <w:rsid w:val="005D2B8F"/>
    <w:rsid w:val="005D3C3C"/>
    <w:rsid w:val="005D5D6D"/>
    <w:rsid w:val="005D7F94"/>
    <w:rsid w:val="005E07C4"/>
    <w:rsid w:val="005E12E5"/>
    <w:rsid w:val="005E2EEC"/>
    <w:rsid w:val="005E406D"/>
    <w:rsid w:val="005E4ECC"/>
    <w:rsid w:val="005E63D6"/>
    <w:rsid w:val="005E7FEE"/>
    <w:rsid w:val="005F234F"/>
    <w:rsid w:val="005F3798"/>
    <w:rsid w:val="005F38A1"/>
    <w:rsid w:val="005F4070"/>
    <w:rsid w:val="005F7E83"/>
    <w:rsid w:val="00600B58"/>
    <w:rsid w:val="00600BCC"/>
    <w:rsid w:val="00601C27"/>
    <w:rsid w:val="006036B3"/>
    <w:rsid w:val="00603A35"/>
    <w:rsid w:val="006048FF"/>
    <w:rsid w:val="00606686"/>
    <w:rsid w:val="00606CF4"/>
    <w:rsid w:val="0060788B"/>
    <w:rsid w:val="00610065"/>
    <w:rsid w:val="00610C61"/>
    <w:rsid w:val="00610E4A"/>
    <w:rsid w:val="00611140"/>
    <w:rsid w:val="00612325"/>
    <w:rsid w:val="00614C51"/>
    <w:rsid w:val="006157F5"/>
    <w:rsid w:val="006158BF"/>
    <w:rsid w:val="0061646B"/>
    <w:rsid w:val="0061671A"/>
    <w:rsid w:val="00620BA4"/>
    <w:rsid w:val="006212BB"/>
    <w:rsid w:val="0062183A"/>
    <w:rsid w:val="006221AF"/>
    <w:rsid w:val="00623295"/>
    <w:rsid w:val="00624F95"/>
    <w:rsid w:val="00625C75"/>
    <w:rsid w:val="00627423"/>
    <w:rsid w:val="00630128"/>
    <w:rsid w:val="006309C7"/>
    <w:rsid w:val="00631591"/>
    <w:rsid w:val="0063231C"/>
    <w:rsid w:val="00632E2B"/>
    <w:rsid w:val="00633C61"/>
    <w:rsid w:val="00634167"/>
    <w:rsid w:val="00640FE1"/>
    <w:rsid w:val="00642116"/>
    <w:rsid w:val="006425D2"/>
    <w:rsid w:val="00643E65"/>
    <w:rsid w:val="006447D2"/>
    <w:rsid w:val="00645588"/>
    <w:rsid w:val="00646044"/>
    <w:rsid w:val="00646C9A"/>
    <w:rsid w:val="00646F0B"/>
    <w:rsid w:val="006506D9"/>
    <w:rsid w:val="00650CA7"/>
    <w:rsid w:val="00652A36"/>
    <w:rsid w:val="0065479D"/>
    <w:rsid w:val="006558A5"/>
    <w:rsid w:val="00656DC4"/>
    <w:rsid w:val="00662DB8"/>
    <w:rsid w:val="00664DD2"/>
    <w:rsid w:val="00665D51"/>
    <w:rsid w:val="00667641"/>
    <w:rsid w:val="00670A69"/>
    <w:rsid w:val="00671D86"/>
    <w:rsid w:val="00674691"/>
    <w:rsid w:val="006748FB"/>
    <w:rsid w:val="0067708C"/>
    <w:rsid w:val="006813D3"/>
    <w:rsid w:val="00681642"/>
    <w:rsid w:val="00681C31"/>
    <w:rsid w:val="00685301"/>
    <w:rsid w:val="00685423"/>
    <w:rsid w:val="00685DA5"/>
    <w:rsid w:val="00686C91"/>
    <w:rsid w:val="00687FDD"/>
    <w:rsid w:val="00690C11"/>
    <w:rsid w:val="00691EE1"/>
    <w:rsid w:val="0069342C"/>
    <w:rsid w:val="006944DD"/>
    <w:rsid w:val="00694D00"/>
    <w:rsid w:val="00694EC8"/>
    <w:rsid w:val="00696212"/>
    <w:rsid w:val="00696A2D"/>
    <w:rsid w:val="00696CD2"/>
    <w:rsid w:val="00696EE5"/>
    <w:rsid w:val="006976E7"/>
    <w:rsid w:val="006A0F10"/>
    <w:rsid w:val="006A468B"/>
    <w:rsid w:val="006A4A98"/>
    <w:rsid w:val="006A53F9"/>
    <w:rsid w:val="006A7AD4"/>
    <w:rsid w:val="006B01F3"/>
    <w:rsid w:val="006B06E5"/>
    <w:rsid w:val="006B1AD0"/>
    <w:rsid w:val="006B3E9A"/>
    <w:rsid w:val="006B40EF"/>
    <w:rsid w:val="006B513F"/>
    <w:rsid w:val="006B7509"/>
    <w:rsid w:val="006C1455"/>
    <w:rsid w:val="006C3249"/>
    <w:rsid w:val="006C5D3D"/>
    <w:rsid w:val="006C7AFE"/>
    <w:rsid w:val="006D0EC4"/>
    <w:rsid w:val="006D26F2"/>
    <w:rsid w:val="006D2C1C"/>
    <w:rsid w:val="006D3FF5"/>
    <w:rsid w:val="006D5284"/>
    <w:rsid w:val="006D600B"/>
    <w:rsid w:val="006D6F42"/>
    <w:rsid w:val="006E0A07"/>
    <w:rsid w:val="006E110A"/>
    <w:rsid w:val="006E4EE5"/>
    <w:rsid w:val="006F0652"/>
    <w:rsid w:val="006F077D"/>
    <w:rsid w:val="006F19CA"/>
    <w:rsid w:val="006F2DEB"/>
    <w:rsid w:val="006F38A2"/>
    <w:rsid w:val="006F540F"/>
    <w:rsid w:val="007020B6"/>
    <w:rsid w:val="00702233"/>
    <w:rsid w:val="00703F42"/>
    <w:rsid w:val="007056B4"/>
    <w:rsid w:val="00705FF9"/>
    <w:rsid w:val="0070614D"/>
    <w:rsid w:val="00707902"/>
    <w:rsid w:val="00712196"/>
    <w:rsid w:val="00712C2B"/>
    <w:rsid w:val="007150EF"/>
    <w:rsid w:val="00715FC8"/>
    <w:rsid w:val="0072402A"/>
    <w:rsid w:val="00724774"/>
    <w:rsid w:val="00724A8A"/>
    <w:rsid w:val="007252FA"/>
    <w:rsid w:val="007257B4"/>
    <w:rsid w:val="00725EDC"/>
    <w:rsid w:val="0073133C"/>
    <w:rsid w:val="00732514"/>
    <w:rsid w:val="00733612"/>
    <w:rsid w:val="00733EAF"/>
    <w:rsid w:val="00734C17"/>
    <w:rsid w:val="0073659C"/>
    <w:rsid w:val="00740450"/>
    <w:rsid w:val="007441A0"/>
    <w:rsid w:val="007446D8"/>
    <w:rsid w:val="007461F6"/>
    <w:rsid w:val="00746AB9"/>
    <w:rsid w:val="007502F7"/>
    <w:rsid w:val="00751872"/>
    <w:rsid w:val="00753428"/>
    <w:rsid w:val="007538BB"/>
    <w:rsid w:val="00761099"/>
    <w:rsid w:val="00763CFC"/>
    <w:rsid w:val="007645F1"/>
    <w:rsid w:val="00766B3F"/>
    <w:rsid w:val="00767199"/>
    <w:rsid w:val="0077206F"/>
    <w:rsid w:val="00772EA2"/>
    <w:rsid w:val="00773A0A"/>
    <w:rsid w:val="007771A6"/>
    <w:rsid w:val="00777EAA"/>
    <w:rsid w:val="00780384"/>
    <w:rsid w:val="007808A7"/>
    <w:rsid w:val="0078094B"/>
    <w:rsid w:val="0078202B"/>
    <w:rsid w:val="0078762F"/>
    <w:rsid w:val="00787EA1"/>
    <w:rsid w:val="0079040F"/>
    <w:rsid w:val="0079155B"/>
    <w:rsid w:val="00795ACE"/>
    <w:rsid w:val="007965F2"/>
    <w:rsid w:val="007A0222"/>
    <w:rsid w:val="007A0901"/>
    <w:rsid w:val="007A0D19"/>
    <w:rsid w:val="007A19A5"/>
    <w:rsid w:val="007A342F"/>
    <w:rsid w:val="007A38EB"/>
    <w:rsid w:val="007A4EE0"/>
    <w:rsid w:val="007A56D8"/>
    <w:rsid w:val="007A6C20"/>
    <w:rsid w:val="007B001E"/>
    <w:rsid w:val="007B0C03"/>
    <w:rsid w:val="007B0F25"/>
    <w:rsid w:val="007B13D9"/>
    <w:rsid w:val="007B28CA"/>
    <w:rsid w:val="007B3339"/>
    <w:rsid w:val="007B42BC"/>
    <w:rsid w:val="007B4EBA"/>
    <w:rsid w:val="007C1012"/>
    <w:rsid w:val="007C1400"/>
    <w:rsid w:val="007C3103"/>
    <w:rsid w:val="007C33D1"/>
    <w:rsid w:val="007C3DD5"/>
    <w:rsid w:val="007C3EC5"/>
    <w:rsid w:val="007C6261"/>
    <w:rsid w:val="007C7413"/>
    <w:rsid w:val="007C7ABB"/>
    <w:rsid w:val="007D052D"/>
    <w:rsid w:val="007D2482"/>
    <w:rsid w:val="007D2C43"/>
    <w:rsid w:val="007D408A"/>
    <w:rsid w:val="007D4F83"/>
    <w:rsid w:val="007E1CA4"/>
    <w:rsid w:val="007E1FAB"/>
    <w:rsid w:val="007E22BA"/>
    <w:rsid w:val="007E60EB"/>
    <w:rsid w:val="007E6E0D"/>
    <w:rsid w:val="007E71A8"/>
    <w:rsid w:val="007E77E9"/>
    <w:rsid w:val="007F0B7E"/>
    <w:rsid w:val="007F262A"/>
    <w:rsid w:val="007F2860"/>
    <w:rsid w:val="007F2D26"/>
    <w:rsid w:val="007F3956"/>
    <w:rsid w:val="007F4A26"/>
    <w:rsid w:val="007F5E66"/>
    <w:rsid w:val="007F7AAF"/>
    <w:rsid w:val="007F7D8B"/>
    <w:rsid w:val="00800C22"/>
    <w:rsid w:val="00801AAE"/>
    <w:rsid w:val="008046DD"/>
    <w:rsid w:val="00804D2A"/>
    <w:rsid w:val="00811670"/>
    <w:rsid w:val="00812A88"/>
    <w:rsid w:val="00813CCD"/>
    <w:rsid w:val="00816DC5"/>
    <w:rsid w:val="008172B4"/>
    <w:rsid w:val="00820938"/>
    <w:rsid w:val="008219F5"/>
    <w:rsid w:val="00821A34"/>
    <w:rsid w:val="008225AE"/>
    <w:rsid w:val="0082381A"/>
    <w:rsid w:val="008240E3"/>
    <w:rsid w:val="008248FC"/>
    <w:rsid w:val="0082548F"/>
    <w:rsid w:val="008326CB"/>
    <w:rsid w:val="00833DAF"/>
    <w:rsid w:val="00834A84"/>
    <w:rsid w:val="0083661A"/>
    <w:rsid w:val="00836DFB"/>
    <w:rsid w:val="0083738C"/>
    <w:rsid w:val="008376CD"/>
    <w:rsid w:val="0083790F"/>
    <w:rsid w:val="00840577"/>
    <w:rsid w:val="00842BA3"/>
    <w:rsid w:val="00843FC0"/>
    <w:rsid w:val="00845814"/>
    <w:rsid w:val="00847163"/>
    <w:rsid w:val="00847335"/>
    <w:rsid w:val="008477FD"/>
    <w:rsid w:val="00847E51"/>
    <w:rsid w:val="00850D16"/>
    <w:rsid w:val="0085148C"/>
    <w:rsid w:val="00852337"/>
    <w:rsid w:val="008535F0"/>
    <w:rsid w:val="00855108"/>
    <w:rsid w:val="008551D7"/>
    <w:rsid w:val="0085583E"/>
    <w:rsid w:val="008577F3"/>
    <w:rsid w:val="008578C2"/>
    <w:rsid w:val="008600AB"/>
    <w:rsid w:val="00860233"/>
    <w:rsid w:val="0086060A"/>
    <w:rsid w:val="00860A50"/>
    <w:rsid w:val="00860B69"/>
    <w:rsid w:val="008613F7"/>
    <w:rsid w:val="00862F39"/>
    <w:rsid w:val="00863DD3"/>
    <w:rsid w:val="00864EC9"/>
    <w:rsid w:val="00865D98"/>
    <w:rsid w:val="00867932"/>
    <w:rsid w:val="00867EC4"/>
    <w:rsid w:val="008706F1"/>
    <w:rsid w:val="0087131E"/>
    <w:rsid w:val="00872006"/>
    <w:rsid w:val="00874CFD"/>
    <w:rsid w:val="00875534"/>
    <w:rsid w:val="0087663B"/>
    <w:rsid w:val="00877597"/>
    <w:rsid w:val="00877F86"/>
    <w:rsid w:val="0088008A"/>
    <w:rsid w:val="008809FB"/>
    <w:rsid w:val="008857F4"/>
    <w:rsid w:val="00885DA5"/>
    <w:rsid w:val="00886597"/>
    <w:rsid w:val="00886D97"/>
    <w:rsid w:val="008870AC"/>
    <w:rsid w:val="00887EE4"/>
    <w:rsid w:val="008913AD"/>
    <w:rsid w:val="00891E9A"/>
    <w:rsid w:val="00891FC7"/>
    <w:rsid w:val="00893288"/>
    <w:rsid w:val="00893427"/>
    <w:rsid w:val="00894122"/>
    <w:rsid w:val="00897C09"/>
    <w:rsid w:val="008A1752"/>
    <w:rsid w:val="008A1981"/>
    <w:rsid w:val="008A4447"/>
    <w:rsid w:val="008A4787"/>
    <w:rsid w:val="008A47DD"/>
    <w:rsid w:val="008A7DD6"/>
    <w:rsid w:val="008A7E98"/>
    <w:rsid w:val="008B05E4"/>
    <w:rsid w:val="008B0624"/>
    <w:rsid w:val="008B24B5"/>
    <w:rsid w:val="008B3D74"/>
    <w:rsid w:val="008B4350"/>
    <w:rsid w:val="008B6910"/>
    <w:rsid w:val="008B7333"/>
    <w:rsid w:val="008B7F9F"/>
    <w:rsid w:val="008C18E8"/>
    <w:rsid w:val="008C269E"/>
    <w:rsid w:val="008C3661"/>
    <w:rsid w:val="008C4B05"/>
    <w:rsid w:val="008C4C5D"/>
    <w:rsid w:val="008C60E0"/>
    <w:rsid w:val="008C6474"/>
    <w:rsid w:val="008C6E7D"/>
    <w:rsid w:val="008C711C"/>
    <w:rsid w:val="008C7495"/>
    <w:rsid w:val="008C7840"/>
    <w:rsid w:val="008C7CA2"/>
    <w:rsid w:val="008C7F91"/>
    <w:rsid w:val="008D09A6"/>
    <w:rsid w:val="008D73C6"/>
    <w:rsid w:val="008D7A64"/>
    <w:rsid w:val="008D7AE8"/>
    <w:rsid w:val="008E3A65"/>
    <w:rsid w:val="008E3AD6"/>
    <w:rsid w:val="008E5061"/>
    <w:rsid w:val="008E556C"/>
    <w:rsid w:val="008E568A"/>
    <w:rsid w:val="008E5886"/>
    <w:rsid w:val="008E6539"/>
    <w:rsid w:val="008E7396"/>
    <w:rsid w:val="008E7DD9"/>
    <w:rsid w:val="008F12A4"/>
    <w:rsid w:val="008F14D0"/>
    <w:rsid w:val="008F32F5"/>
    <w:rsid w:val="008F5624"/>
    <w:rsid w:val="009016DE"/>
    <w:rsid w:val="009018C2"/>
    <w:rsid w:val="00904BF8"/>
    <w:rsid w:val="009050D1"/>
    <w:rsid w:val="00906CFF"/>
    <w:rsid w:val="00907CBF"/>
    <w:rsid w:val="00907E80"/>
    <w:rsid w:val="009118AF"/>
    <w:rsid w:val="009124FE"/>
    <w:rsid w:val="009140EC"/>
    <w:rsid w:val="009141D1"/>
    <w:rsid w:val="00914362"/>
    <w:rsid w:val="009156F1"/>
    <w:rsid w:val="00915918"/>
    <w:rsid w:val="009161A0"/>
    <w:rsid w:val="009161F6"/>
    <w:rsid w:val="00921256"/>
    <w:rsid w:val="00921C7D"/>
    <w:rsid w:val="00922283"/>
    <w:rsid w:val="0092346F"/>
    <w:rsid w:val="00923973"/>
    <w:rsid w:val="00923E15"/>
    <w:rsid w:val="00927D21"/>
    <w:rsid w:val="00927D73"/>
    <w:rsid w:val="0093102B"/>
    <w:rsid w:val="00931264"/>
    <w:rsid w:val="009336E8"/>
    <w:rsid w:val="009379D2"/>
    <w:rsid w:val="00937F85"/>
    <w:rsid w:val="00942199"/>
    <w:rsid w:val="00943BF2"/>
    <w:rsid w:val="00944521"/>
    <w:rsid w:val="00946D4E"/>
    <w:rsid w:val="009510C5"/>
    <w:rsid w:val="00951D8E"/>
    <w:rsid w:val="00952198"/>
    <w:rsid w:val="00954A52"/>
    <w:rsid w:val="00960EA7"/>
    <w:rsid w:val="00960F00"/>
    <w:rsid w:val="0096119A"/>
    <w:rsid w:val="009611A9"/>
    <w:rsid w:val="00962430"/>
    <w:rsid w:val="00963B84"/>
    <w:rsid w:val="00965B0B"/>
    <w:rsid w:val="00966B60"/>
    <w:rsid w:val="00971752"/>
    <w:rsid w:val="00974046"/>
    <w:rsid w:val="00976EC6"/>
    <w:rsid w:val="00980947"/>
    <w:rsid w:val="00980E2C"/>
    <w:rsid w:val="00981FCF"/>
    <w:rsid w:val="00982C27"/>
    <w:rsid w:val="0098322C"/>
    <w:rsid w:val="00985E8B"/>
    <w:rsid w:val="00986DB6"/>
    <w:rsid w:val="009874B8"/>
    <w:rsid w:val="00987EAE"/>
    <w:rsid w:val="00991849"/>
    <w:rsid w:val="00993396"/>
    <w:rsid w:val="0099348C"/>
    <w:rsid w:val="00994F7D"/>
    <w:rsid w:val="009A11FE"/>
    <w:rsid w:val="009A2165"/>
    <w:rsid w:val="009A22B4"/>
    <w:rsid w:val="009A4A27"/>
    <w:rsid w:val="009A5477"/>
    <w:rsid w:val="009A5E16"/>
    <w:rsid w:val="009A6099"/>
    <w:rsid w:val="009A6450"/>
    <w:rsid w:val="009A67DB"/>
    <w:rsid w:val="009A6DCB"/>
    <w:rsid w:val="009A6E45"/>
    <w:rsid w:val="009A721A"/>
    <w:rsid w:val="009B2F43"/>
    <w:rsid w:val="009B541F"/>
    <w:rsid w:val="009B786C"/>
    <w:rsid w:val="009C1751"/>
    <w:rsid w:val="009C301B"/>
    <w:rsid w:val="009C314F"/>
    <w:rsid w:val="009C46FE"/>
    <w:rsid w:val="009C49A3"/>
    <w:rsid w:val="009C59D7"/>
    <w:rsid w:val="009C65F0"/>
    <w:rsid w:val="009C669E"/>
    <w:rsid w:val="009D1115"/>
    <w:rsid w:val="009D12FA"/>
    <w:rsid w:val="009D3118"/>
    <w:rsid w:val="009D3BF1"/>
    <w:rsid w:val="009D4B0D"/>
    <w:rsid w:val="009D7258"/>
    <w:rsid w:val="009D7838"/>
    <w:rsid w:val="009D7FBE"/>
    <w:rsid w:val="009E1F9F"/>
    <w:rsid w:val="009E4507"/>
    <w:rsid w:val="009E4DDD"/>
    <w:rsid w:val="009E5B38"/>
    <w:rsid w:val="009E5E1E"/>
    <w:rsid w:val="009E649A"/>
    <w:rsid w:val="009F1EE2"/>
    <w:rsid w:val="009F3E0B"/>
    <w:rsid w:val="009F7356"/>
    <w:rsid w:val="00A0565A"/>
    <w:rsid w:val="00A07872"/>
    <w:rsid w:val="00A07CB6"/>
    <w:rsid w:val="00A12C8D"/>
    <w:rsid w:val="00A12D49"/>
    <w:rsid w:val="00A13BB3"/>
    <w:rsid w:val="00A15FE1"/>
    <w:rsid w:val="00A166E3"/>
    <w:rsid w:val="00A16EE4"/>
    <w:rsid w:val="00A17660"/>
    <w:rsid w:val="00A2067F"/>
    <w:rsid w:val="00A20B2D"/>
    <w:rsid w:val="00A20CFA"/>
    <w:rsid w:val="00A2122E"/>
    <w:rsid w:val="00A2551F"/>
    <w:rsid w:val="00A25901"/>
    <w:rsid w:val="00A2673D"/>
    <w:rsid w:val="00A34459"/>
    <w:rsid w:val="00A34B6E"/>
    <w:rsid w:val="00A34CBB"/>
    <w:rsid w:val="00A35412"/>
    <w:rsid w:val="00A3583C"/>
    <w:rsid w:val="00A3631F"/>
    <w:rsid w:val="00A36B4C"/>
    <w:rsid w:val="00A45B0D"/>
    <w:rsid w:val="00A45BE5"/>
    <w:rsid w:val="00A463E2"/>
    <w:rsid w:val="00A50448"/>
    <w:rsid w:val="00A50FA5"/>
    <w:rsid w:val="00A51449"/>
    <w:rsid w:val="00A52BAF"/>
    <w:rsid w:val="00A5372E"/>
    <w:rsid w:val="00A53E46"/>
    <w:rsid w:val="00A5521D"/>
    <w:rsid w:val="00A557E7"/>
    <w:rsid w:val="00A5592E"/>
    <w:rsid w:val="00A55E01"/>
    <w:rsid w:val="00A56794"/>
    <w:rsid w:val="00A56FD9"/>
    <w:rsid w:val="00A61933"/>
    <w:rsid w:val="00A62395"/>
    <w:rsid w:val="00A62773"/>
    <w:rsid w:val="00A62E42"/>
    <w:rsid w:val="00A644CF"/>
    <w:rsid w:val="00A706CB"/>
    <w:rsid w:val="00A70745"/>
    <w:rsid w:val="00A70E4D"/>
    <w:rsid w:val="00A74CBE"/>
    <w:rsid w:val="00A759FE"/>
    <w:rsid w:val="00A77E24"/>
    <w:rsid w:val="00A80A1D"/>
    <w:rsid w:val="00A80B52"/>
    <w:rsid w:val="00A820F4"/>
    <w:rsid w:val="00A82980"/>
    <w:rsid w:val="00A829CE"/>
    <w:rsid w:val="00A847DF"/>
    <w:rsid w:val="00A84FE8"/>
    <w:rsid w:val="00A858BB"/>
    <w:rsid w:val="00A85CA4"/>
    <w:rsid w:val="00A86FD3"/>
    <w:rsid w:val="00A9179F"/>
    <w:rsid w:val="00A919B5"/>
    <w:rsid w:val="00A9569E"/>
    <w:rsid w:val="00A95738"/>
    <w:rsid w:val="00A95916"/>
    <w:rsid w:val="00A97917"/>
    <w:rsid w:val="00A97D91"/>
    <w:rsid w:val="00A97FA4"/>
    <w:rsid w:val="00AA06D7"/>
    <w:rsid w:val="00AA070B"/>
    <w:rsid w:val="00AA0B6D"/>
    <w:rsid w:val="00AA55D7"/>
    <w:rsid w:val="00AA5925"/>
    <w:rsid w:val="00AB29DA"/>
    <w:rsid w:val="00AB3BCE"/>
    <w:rsid w:val="00AB6F77"/>
    <w:rsid w:val="00AB783B"/>
    <w:rsid w:val="00AB7E22"/>
    <w:rsid w:val="00AC1406"/>
    <w:rsid w:val="00AC194C"/>
    <w:rsid w:val="00AC229A"/>
    <w:rsid w:val="00AC285E"/>
    <w:rsid w:val="00AC4469"/>
    <w:rsid w:val="00AC5E5B"/>
    <w:rsid w:val="00AC7D45"/>
    <w:rsid w:val="00AC7E86"/>
    <w:rsid w:val="00AD097E"/>
    <w:rsid w:val="00AD112E"/>
    <w:rsid w:val="00AD2EDB"/>
    <w:rsid w:val="00AD4371"/>
    <w:rsid w:val="00AD46BB"/>
    <w:rsid w:val="00AD5052"/>
    <w:rsid w:val="00AD565D"/>
    <w:rsid w:val="00AD68F1"/>
    <w:rsid w:val="00AE3298"/>
    <w:rsid w:val="00AE45FD"/>
    <w:rsid w:val="00AE61FE"/>
    <w:rsid w:val="00AE74B0"/>
    <w:rsid w:val="00AF1268"/>
    <w:rsid w:val="00AF1ACB"/>
    <w:rsid w:val="00AF402B"/>
    <w:rsid w:val="00AF43FA"/>
    <w:rsid w:val="00AF4FC8"/>
    <w:rsid w:val="00AF6D25"/>
    <w:rsid w:val="00B065E3"/>
    <w:rsid w:val="00B07DAD"/>
    <w:rsid w:val="00B10126"/>
    <w:rsid w:val="00B1051A"/>
    <w:rsid w:val="00B11711"/>
    <w:rsid w:val="00B12C37"/>
    <w:rsid w:val="00B12EB0"/>
    <w:rsid w:val="00B15444"/>
    <w:rsid w:val="00B15FDD"/>
    <w:rsid w:val="00B161DD"/>
    <w:rsid w:val="00B17255"/>
    <w:rsid w:val="00B17833"/>
    <w:rsid w:val="00B206C8"/>
    <w:rsid w:val="00B229CD"/>
    <w:rsid w:val="00B244B5"/>
    <w:rsid w:val="00B2559F"/>
    <w:rsid w:val="00B267CC"/>
    <w:rsid w:val="00B26E9D"/>
    <w:rsid w:val="00B31A63"/>
    <w:rsid w:val="00B3410F"/>
    <w:rsid w:val="00B35488"/>
    <w:rsid w:val="00B3667A"/>
    <w:rsid w:val="00B36A1A"/>
    <w:rsid w:val="00B36A4E"/>
    <w:rsid w:val="00B3787A"/>
    <w:rsid w:val="00B3798D"/>
    <w:rsid w:val="00B406E9"/>
    <w:rsid w:val="00B424B9"/>
    <w:rsid w:val="00B442F4"/>
    <w:rsid w:val="00B44AA3"/>
    <w:rsid w:val="00B45529"/>
    <w:rsid w:val="00B45995"/>
    <w:rsid w:val="00B4611F"/>
    <w:rsid w:val="00B47933"/>
    <w:rsid w:val="00B518C0"/>
    <w:rsid w:val="00B520FB"/>
    <w:rsid w:val="00B523DA"/>
    <w:rsid w:val="00B52729"/>
    <w:rsid w:val="00B5496B"/>
    <w:rsid w:val="00B5574E"/>
    <w:rsid w:val="00B56356"/>
    <w:rsid w:val="00B56960"/>
    <w:rsid w:val="00B60333"/>
    <w:rsid w:val="00B6163E"/>
    <w:rsid w:val="00B61A7F"/>
    <w:rsid w:val="00B65ED1"/>
    <w:rsid w:val="00B67994"/>
    <w:rsid w:val="00B70541"/>
    <w:rsid w:val="00B7073E"/>
    <w:rsid w:val="00B70B36"/>
    <w:rsid w:val="00B7620D"/>
    <w:rsid w:val="00B766C3"/>
    <w:rsid w:val="00B766F4"/>
    <w:rsid w:val="00B80629"/>
    <w:rsid w:val="00B80CD7"/>
    <w:rsid w:val="00B82701"/>
    <w:rsid w:val="00B8336F"/>
    <w:rsid w:val="00B8410D"/>
    <w:rsid w:val="00B84238"/>
    <w:rsid w:val="00B845EC"/>
    <w:rsid w:val="00B84CE6"/>
    <w:rsid w:val="00B85AE8"/>
    <w:rsid w:val="00B87638"/>
    <w:rsid w:val="00B90085"/>
    <w:rsid w:val="00B906FA"/>
    <w:rsid w:val="00B92358"/>
    <w:rsid w:val="00BA167C"/>
    <w:rsid w:val="00BA2C46"/>
    <w:rsid w:val="00BA382C"/>
    <w:rsid w:val="00BA4360"/>
    <w:rsid w:val="00BA46CC"/>
    <w:rsid w:val="00BA5992"/>
    <w:rsid w:val="00BA6CC0"/>
    <w:rsid w:val="00BA6E91"/>
    <w:rsid w:val="00BB021E"/>
    <w:rsid w:val="00BB25D3"/>
    <w:rsid w:val="00BB2976"/>
    <w:rsid w:val="00BB44BF"/>
    <w:rsid w:val="00BB605B"/>
    <w:rsid w:val="00BB6DD6"/>
    <w:rsid w:val="00BB70D8"/>
    <w:rsid w:val="00BB7D93"/>
    <w:rsid w:val="00BC0106"/>
    <w:rsid w:val="00BC017F"/>
    <w:rsid w:val="00BC083A"/>
    <w:rsid w:val="00BC08DE"/>
    <w:rsid w:val="00BC0F3E"/>
    <w:rsid w:val="00BC0FE1"/>
    <w:rsid w:val="00BC19AA"/>
    <w:rsid w:val="00BC1A5F"/>
    <w:rsid w:val="00BC283A"/>
    <w:rsid w:val="00BC39E4"/>
    <w:rsid w:val="00BC49F8"/>
    <w:rsid w:val="00BC4B27"/>
    <w:rsid w:val="00BC6856"/>
    <w:rsid w:val="00BC6D44"/>
    <w:rsid w:val="00BC75FB"/>
    <w:rsid w:val="00BD0BC6"/>
    <w:rsid w:val="00BD149F"/>
    <w:rsid w:val="00BD31BF"/>
    <w:rsid w:val="00BD50F3"/>
    <w:rsid w:val="00BD7C2B"/>
    <w:rsid w:val="00BE016A"/>
    <w:rsid w:val="00BE0335"/>
    <w:rsid w:val="00BE1EFE"/>
    <w:rsid w:val="00BE295A"/>
    <w:rsid w:val="00BE54B5"/>
    <w:rsid w:val="00BE6CC6"/>
    <w:rsid w:val="00BF04DC"/>
    <w:rsid w:val="00BF0927"/>
    <w:rsid w:val="00BF6402"/>
    <w:rsid w:val="00BF655F"/>
    <w:rsid w:val="00BF78EE"/>
    <w:rsid w:val="00C0169F"/>
    <w:rsid w:val="00C023A7"/>
    <w:rsid w:val="00C02B35"/>
    <w:rsid w:val="00C036F1"/>
    <w:rsid w:val="00C0503C"/>
    <w:rsid w:val="00C050C0"/>
    <w:rsid w:val="00C05B8E"/>
    <w:rsid w:val="00C05DCC"/>
    <w:rsid w:val="00C07496"/>
    <w:rsid w:val="00C103E1"/>
    <w:rsid w:val="00C1185D"/>
    <w:rsid w:val="00C144B6"/>
    <w:rsid w:val="00C146E6"/>
    <w:rsid w:val="00C154AA"/>
    <w:rsid w:val="00C167A0"/>
    <w:rsid w:val="00C16CB3"/>
    <w:rsid w:val="00C177A5"/>
    <w:rsid w:val="00C23592"/>
    <w:rsid w:val="00C245B3"/>
    <w:rsid w:val="00C248E0"/>
    <w:rsid w:val="00C265B9"/>
    <w:rsid w:val="00C30B80"/>
    <w:rsid w:val="00C310FD"/>
    <w:rsid w:val="00C313AA"/>
    <w:rsid w:val="00C327F6"/>
    <w:rsid w:val="00C33DF4"/>
    <w:rsid w:val="00C33F5B"/>
    <w:rsid w:val="00C349CA"/>
    <w:rsid w:val="00C351C6"/>
    <w:rsid w:val="00C40A65"/>
    <w:rsid w:val="00C40DE8"/>
    <w:rsid w:val="00C42792"/>
    <w:rsid w:val="00C44C64"/>
    <w:rsid w:val="00C4544B"/>
    <w:rsid w:val="00C45ECB"/>
    <w:rsid w:val="00C4667D"/>
    <w:rsid w:val="00C50842"/>
    <w:rsid w:val="00C50E1F"/>
    <w:rsid w:val="00C52F07"/>
    <w:rsid w:val="00C53517"/>
    <w:rsid w:val="00C53833"/>
    <w:rsid w:val="00C546D7"/>
    <w:rsid w:val="00C57E86"/>
    <w:rsid w:val="00C6138C"/>
    <w:rsid w:val="00C618A1"/>
    <w:rsid w:val="00C62370"/>
    <w:rsid w:val="00C7100C"/>
    <w:rsid w:val="00C7209F"/>
    <w:rsid w:val="00C72DB4"/>
    <w:rsid w:val="00C73F7D"/>
    <w:rsid w:val="00C7407B"/>
    <w:rsid w:val="00C75D6C"/>
    <w:rsid w:val="00C77D6B"/>
    <w:rsid w:val="00C83F4E"/>
    <w:rsid w:val="00C8489A"/>
    <w:rsid w:val="00C85355"/>
    <w:rsid w:val="00C85755"/>
    <w:rsid w:val="00C87AE9"/>
    <w:rsid w:val="00C90E9A"/>
    <w:rsid w:val="00C91EE3"/>
    <w:rsid w:val="00C9389F"/>
    <w:rsid w:val="00C93B4E"/>
    <w:rsid w:val="00C93D61"/>
    <w:rsid w:val="00C95449"/>
    <w:rsid w:val="00CA0DAF"/>
    <w:rsid w:val="00CA15ED"/>
    <w:rsid w:val="00CA18DE"/>
    <w:rsid w:val="00CA2420"/>
    <w:rsid w:val="00CA34CD"/>
    <w:rsid w:val="00CA3D2B"/>
    <w:rsid w:val="00CA469A"/>
    <w:rsid w:val="00CA5338"/>
    <w:rsid w:val="00CB2A60"/>
    <w:rsid w:val="00CB5364"/>
    <w:rsid w:val="00CB7DD8"/>
    <w:rsid w:val="00CC2F2B"/>
    <w:rsid w:val="00CC3391"/>
    <w:rsid w:val="00CC383E"/>
    <w:rsid w:val="00CC495D"/>
    <w:rsid w:val="00CC57A5"/>
    <w:rsid w:val="00CC60E9"/>
    <w:rsid w:val="00CC7BEA"/>
    <w:rsid w:val="00CD0588"/>
    <w:rsid w:val="00CD10E1"/>
    <w:rsid w:val="00CD1269"/>
    <w:rsid w:val="00CD31C9"/>
    <w:rsid w:val="00CD3F89"/>
    <w:rsid w:val="00CD401C"/>
    <w:rsid w:val="00CD49F6"/>
    <w:rsid w:val="00CD5399"/>
    <w:rsid w:val="00CD7302"/>
    <w:rsid w:val="00CE060A"/>
    <w:rsid w:val="00CE09AE"/>
    <w:rsid w:val="00CE27EB"/>
    <w:rsid w:val="00CE2980"/>
    <w:rsid w:val="00CE349F"/>
    <w:rsid w:val="00CE4F02"/>
    <w:rsid w:val="00CE5989"/>
    <w:rsid w:val="00CE5A68"/>
    <w:rsid w:val="00CE6019"/>
    <w:rsid w:val="00CE78C6"/>
    <w:rsid w:val="00CE7C38"/>
    <w:rsid w:val="00CF1B05"/>
    <w:rsid w:val="00CF3009"/>
    <w:rsid w:val="00CF4745"/>
    <w:rsid w:val="00CF5A25"/>
    <w:rsid w:val="00CF697E"/>
    <w:rsid w:val="00CF69D3"/>
    <w:rsid w:val="00CF6EED"/>
    <w:rsid w:val="00CF7236"/>
    <w:rsid w:val="00CF77DC"/>
    <w:rsid w:val="00D01270"/>
    <w:rsid w:val="00D02F37"/>
    <w:rsid w:val="00D03623"/>
    <w:rsid w:val="00D0513D"/>
    <w:rsid w:val="00D051C1"/>
    <w:rsid w:val="00D06854"/>
    <w:rsid w:val="00D06AFB"/>
    <w:rsid w:val="00D10409"/>
    <w:rsid w:val="00D13BBE"/>
    <w:rsid w:val="00D13ED1"/>
    <w:rsid w:val="00D15D34"/>
    <w:rsid w:val="00D1792D"/>
    <w:rsid w:val="00D17D08"/>
    <w:rsid w:val="00D17D63"/>
    <w:rsid w:val="00D22DBA"/>
    <w:rsid w:val="00D236DC"/>
    <w:rsid w:val="00D24C00"/>
    <w:rsid w:val="00D24D99"/>
    <w:rsid w:val="00D2545E"/>
    <w:rsid w:val="00D264D6"/>
    <w:rsid w:val="00D32086"/>
    <w:rsid w:val="00D3287A"/>
    <w:rsid w:val="00D33624"/>
    <w:rsid w:val="00D34DA0"/>
    <w:rsid w:val="00D36274"/>
    <w:rsid w:val="00D36F8E"/>
    <w:rsid w:val="00D37C65"/>
    <w:rsid w:val="00D40987"/>
    <w:rsid w:val="00D434F2"/>
    <w:rsid w:val="00D44C0E"/>
    <w:rsid w:val="00D4562D"/>
    <w:rsid w:val="00D47021"/>
    <w:rsid w:val="00D4743E"/>
    <w:rsid w:val="00D47CD7"/>
    <w:rsid w:val="00D50381"/>
    <w:rsid w:val="00D50818"/>
    <w:rsid w:val="00D52D6B"/>
    <w:rsid w:val="00D55DF0"/>
    <w:rsid w:val="00D60575"/>
    <w:rsid w:val="00D6089F"/>
    <w:rsid w:val="00D60A51"/>
    <w:rsid w:val="00D6111B"/>
    <w:rsid w:val="00D62281"/>
    <w:rsid w:val="00D6255F"/>
    <w:rsid w:val="00D64EF5"/>
    <w:rsid w:val="00D6608B"/>
    <w:rsid w:val="00D7013E"/>
    <w:rsid w:val="00D7173F"/>
    <w:rsid w:val="00D71D88"/>
    <w:rsid w:val="00D73690"/>
    <w:rsid w:val="00D74682"/>
    <w:rsid w:val="00D75490"/>
    <w:rsid w:val="00D760C1"/>
    <w:rsid w:val="00D765E9"/>
    <w:rsid w:val="00D766D6"/>
    <w:rsid w:val="00D824C6"/>
    <w:rsid w:val="00D83DE6"/>
    <w:rsid w:val="00D87B68"/>
    <w:rsid w:val="00D92851"/>
    <w:rsid w:val="00D939F5"/>
    <w:rsid w:val="00D9502F"/>
    <w:rsid w:val="00D95911"/>
    <w:rsid w:val="00DA0600"/>
    <w:rsid w:val="00DA4949"/>
    <w:rsid w:val="00DA4BC0"/>
    <w:rsid w:val="00DA5505"/>
    <w:rsid w:val="00DA69B8"/>
    <w:rsid w:val="00DA6F68"/>
    <w:rsid w:val="00DB054A"/>
    <w:rsid w:val="00DB1421"/>
    <w:rsid w:val="00DB180C"/>
    <w:rsid w:val="00DB2B51"/>
    <w:rsid w:val="00DB5435"/>
    <w:rsid w:val="00DB56B1"/>
    <w:rsid w:val="00DB56D2"/>
    <w:rsid w:val="00DB7443"/>
    <w:rsid w:val="00DC0E3E"/>
    <w:rsid w:val="00DC0FF1"/>
    <w:rsid w:val="00DC300D"/>
    <w:rsid w:val="00DC5939"/>
    <w:rsid w:val="00DC6016"/>
    <w:rsid w:val="00DC6ED2"/>
    <w:rsid w:val="00DD09A9"/>
    <w:rsid w:val="00DD0DF1"/>
    <w:rsid w:val="00DD1438"/>
    <w:rsid w:val="00DD252F"/>
    <w:rsid w:val="00DD36DE"/>
    <w:rsid w:val="00DD42A2"/>
    <w:rsid w:val="00DD5CE7"/>
    <w:rsid w:val="00DD71E1"/>
    <w:rsid w:val="00DE019D"/>
    <w:rsid w:val="00DE0B7E"/>
    <w:rsid w:val="00DE1038"/>
    <w:rsid w:val="00DE1058"/>
    <w:rsid w:val="00DE32AC"/>
    <w:rsid w:val="00DE3D3A"/>
    <w:rsid w:val="00DE4A69"/>
    <w:rsid w:val="00DE4BDA"/>
    <w:rsid w:val="00DE4FB4"/>
    <w:rsid w:val="00DE5A44"/>
    <w:rsid w:val="00DE5BF2"/>
    <w:rsid w:val="00DF09FB"/>
    <w:rsid w:val="00DF20C4"/>
    <w:rsid w:val="00DF2F89"/>
    <w:rsid w:val="00DF4E3B"/>
    <w:rsid w:val="00DF6979"/>
    <w:rsid w:val="00DF6EA4"/>
    <w:rsid w:val="00E020F9"/>
    <w:rsid w:val="00E05AE7"/>
    <w:rsid w:val="00E0767E"/>
    <w:rsid w:val="00E103DE"/>
    <w:rsid w:val="00E1114E"/>
    <w:rsid w:val="00E1220A"/>
    <w:rsid w:val="00E12DF7"/>
    <w:rsid w:val="00E12F7E"/>
    <w:rsid w:val="00E1360C"/>
    <w:rsid w:val="00E136C0"/>
    <w:rsid w:val="00E140A3"/>
    <w:rsid w:val="00E14F3E"/>
    <w:rsid w:val="00E21475"/>
    <w:rsid w:val="00E2158C"/>
    <w:rsid w:val="00E21839"/>
    <w:rsid w:val="00E2244C"/>
    <w:rsid w:val="00E23F65"/>
    <w:rsid w:val="00E24130"/>
    <w:rsid w:val="00E257A3"/>
    <w:rsid w:val="00E25CF6"/>
    <w:rsid w:val="00E277B3"/>
    <w:rsid w:val="00E27C39"/>
    <w:rsid w:val="00E31113"/>
    <w:rsid w:val="00E32488"/>
    <w:rsid w:val="00E41536"/>
    <w:rsid w:val="00E41A06"/>
    <w:rsid w:val="00E425B8"/>
    <w:rsid w:val="00E464C1"/>
    <w:rsid w:val="00E50DF9"/>
    <w:rsid w:val="00E52FAA"/>
    <w:rsid w:val="00E535DA"/>
    <w:rsid w:val="00E5475C"/>
    <w:rsid w:val="00E55A99"/>
    <w:rsid w:val="00E5639F"/>
    <w:rsid w:val="00E5717B"/>
    <w:rsid w:val="00E57227"/>
    <w:rsid w:val="00E60E4F"/>
    <w:rsid w:val="00E64026"/>
    <w:rsid w:val="00E65AD8"/>
    <w:rsid w:val="00E673F6"/>
    <w:rsid w:val="00E732B1"/>
    <w:rsid w:val="00E7414F"/>
    <w:rsid w:val="00E7496A"/>
    <w:rsid w:val="00E75719"/>
    <w:rsid w:val="00E76ACF"/>
    <w:rsid w:val="00E82156"/>
    <w:rsid w:val="00E8268A"/>
    <w:rsid w:val="00E82921"/>
    <w:rsid w:val="00E836FA"/>
    <w:rsid w:val="00E84CE8"/>
    <w:rsid w:val="00E8606A"/>
    <w:rsid w:val="00E90DBE"/>
    <w:rsid w:val="00E91107"/>
    <w:rsid w:val="00E916CB"/>
    <w:rsid w:val="00E9184A"/>
    <w:rsid w:val="00E922BD"/>
    <w:rsid w:val="00E92AA1"/>
    <w:rsid w:val="00E9617B"/>
    <w:rsid w:val="00E96D41"/>
    <w:rsid w:val="00EA008D"/>
    <w:rsid w:val="00EA0520"/>
    <w:rsid w:val="00EA1388"/>
    <w:rsid w:val="00EA1C8D"/>
    <w:rsid w:val="00EA21CE"/>
    <w:rsid w:val="00EA3285"/>
    <w:rsid w:val="00EA42A4"/>
    <w:rsid w:val="00EA6E9E"/>
    <w:rsid w:val="00EB069C"/>
    <w:rsid w:val="00EB1B6D"/>
    <w:rsid w:val="00EB28B6"/>
    <w:rsid w:val="00EB30DA"/>
    <w:rsid w:val="00EB3349"/>
    <w:rsid w:val="00EB3B83"/>
    <w:rsid w:val="00EB5646"/>
    <w:rsid w:val="00EC0012"/>
    <w:rsid w:val="00EC0F5D"/>
    <w:rsid w:val="00EC1705"/>
    <w:rsid w:val="00EC4FC2"/>
    <w:rsid w:val="00EC6D77"/>
    <w:rsid w:val="00ED14C4"/>
    <w:rsid w:val="00ED14E6"/>
    <w:rsid w:val="00ED2209"/>
    <w:rsid w:val="00ED2E5F"/>
    <w:rsid w:val="00ED3A0A"/>
    <w:rsid w:val="00ED4776"/>
    <w:rsid w:val="00ED5B67"/>
    <w:rsid w:val="00ED7DA0"/>
    <w:rsid w:val="00ED7DA9"/>
    <w:rsid w:val="00EE1347"/>
    <w:rsid w:val="00EE1DF7"/>
    <w:rsid w:val="00EE4892"/>
    <w:rsid w:val="00EE51D7"/>
    <w:rsid w:val="00EE7924"/>
    <w:rsid w:val="00EF10B8"/>
    <w:rsid w:val="00EF1FD6"/>
    <w:rsid w:val="00EF29E1"/>
    <w:rsid w:val="00EF2C62"/>
    <w:rsid w:val="00EF5A93"/>
    <w:rsid w:val="00EF5BF5"/>
    <w:rsid w:val="00F01417"/>
    <w:rsid w:val="00F01738"/>
    <w:rsid w:val="00F02686"/>
    <w:rsid w:val="00F046C5"/>
    <w:rsid w:val="00F07459"/>
    <w:rsid w:val="00F11217"/>
    <w:rsid w:val="00F12A49"/>
    <w:rsid w:val="00F12A86"/>
    <w:rsid w:val="00F12B3B"/>
    <w:rsid w:val="00F139E9"/>
    <w:rsid w:val="00F156D5"/>
    <w:rsid w:val="00F16363"/>
    <w:rsid w:val="00F17832"/>
    <w:rsid w:val="00F211EC"/>
    <w:rsid w:val="00F21EF4"/>
    <w:rsid w:val="00F221C6"/>
    <w:rsid w:val="00F24300"/>
    <w:rsid w:val="00F24A26"/>
    <w:rsid w:val="00F24DE2"/>
    <w:rsid w:val="00F25574"/>
    <w:rsid w:val="00F26715"/>
    <w:rsid w:val="00F26FA1"/>
    <w:rsid w:val="00F271C8"/>
    <w:rsid w:val="00F272D5"/>
    <w:rsid w:val="00F278BC"/>
    <w:rsid w:val="00F30417"/>
    <w:rsid w:val="00F31E51"/>
    <w:rsid w:val="00F342A9"/>
    <w:rsid w:val="00F34DDB"/>
    <w:rsid w:val="00F35847"/>
    <w:rsid w:val="00F36A37"/>
    <w:rsid w:val="00F37E23"/>
    <w:rsid w:val="00F424F4"/>
    <w:rsid w:val="00F426BA"/>
    <w:rsid w:val="00F43AF0"/>
    <w:rsid w:val="00F443A9"/>
    <w:rsid w:val="00F448F9"/>
    <w:rsid w:val="00F4676B"/>
    <w:rsid w:val="00F47CAF"/>
    <w:rsid w:val="00F508DA"/>
    <w:rsid w:val="00F51156"/>
    <w:rsid w:val="00F5249B"/>
    <w:rsid w:val="00F52B8F"/>
    <w:rsid w:val="00F53055"/>
    <w:rsid w:val="00F53B00"/>
    <w:rsid w:val="00F53F5E"/>
    <w:rsid w:val="00F54412"/>
    <w:rsid w:val="00F54D94"/>
    <w:rsid w:val="00F54E6D"/>
    <w:rsid w:val="00F54F87"/>
    <w:rsid w:val="00F5676F"/>
    <w:rsid w:val="00F6060C"/>
    <w:rsid w:val="00F6083D"/>
    <w:rsid w:val="00F6345F"/>
    <w:rsid w:val="00F63A44"/>
    <w:rsid w:val="00F64939"/>
    <w:rsid w:val="00F66E63"/>
    <w:rsid w:val="00F679E8"/>
    <w:rsid w:val="00F71082"/>
    <w:rsid w:val="00F72ABD"/>
    <w:rsid w:val="00F73CF9"/>
    <w:rsid w:val="00F76086"/>
    <w:rsid w:val="00F76A27"/>
    <w:rsid w:val="00F76FC4"/>
    <w:rsid w:val="00F77075"/>
    <w:rsid w:val="00F77E37"/>
    <w:rsid w:val="00F81F15"/>
    <w:rsid w:val="00F8208F"/>
    <w:rsid w:val="00F8457A"/>
    <w:rsid w:val="00F86228"/>
    <w:rsid w:val="00F87A10"/>
    <w:rsid w:val="00F907D0"/>
    <w:rsid w:val="00F91422"/>
    <w:rsid w:val="00F91CA3"/>
    <w:rsid w:val="00F92EC4"/>
    <w:rsid w:val="00F93035"/>
    <w:rsid w:val="00F93B15"/>
    <w:rsid w:val="00F93CA2"/>
    <w:rsid w:val="00F9403F"/>
    <w:rsid w:val="00F94C69"/>
    <w:rsid w:val="00F95559"/>
    <w:rsid w:val="00F96FAD"/>
    <w:rsid w:val="00FA095F"/>
    <w:rsid w:val="00FA1825"/>
    <w:rsid w:val="00FA3B7D"/>
    <w:rsid w:val="00FA3FB5"/>
    <w:rsid w:val="00FA62D8"/>
    <w:rsid w:val="00FA722D"/>
    <w:rsid w:val="00FA76C1"/>
    <w:rsid w:val="00FB08C4"/>
    <w:rsid w:val="00FB0D92"/>
    <w:rsid w:val="00FB1440"/>
    <w:rsid w:val="00FB1F39"/>
    <w:rsid w:val="00FB2358"/>
    <w:rsid w:val="00FC1CF2"/>
    <w:rsid w:val="00FC6829"/>
    <w:rsid w:val="00FC6D46"/>
    <w:rsid w:val="00FC6FDD"/>
    <w:rsid w:val="00FD0522"/>
    <w:rsid w:val="00FD3AF4"/>
    <w:rsid w:val="00FD5AC1"/>
    <w:rsid w:val="00FD7FDD"/>
    <w:rsid w:val="00FE001D"/>
    <w:rsid w:val="00FE0C1F"/>
    <w:rsid w:val="00FE0DCF"/>
    <w:rsid w:val="00FE1B16"/>
    <w:rsid w:val="00FE26AA"/>
    <w:rsid w:val="00FE2C5D"/>
    <w:rsid w:val="00FE526C"/>
    <w:rsid w:val="00FE616F"/>
    <w:rsid w:val="00FE6E00"/>
    <w:rsid w:val="00FE7BB2"/>
    <w:rsid w:val="00FF11E0"/>
    <w:rsid w:val="00FF20E8"/>
    <w:rsid w:val="00FF3DB6"/>
    <w:rsid w:val="00FF3DF0"/>
    <w:rsid w:val="00FF4B43"/>
    <w:rsid w:val="00FF5A58"/>
    <w:rsid w:val="00FF625D"/>
    <w:rsid w:val="00FF6A06"/>
    <w:rsid w:val="00FF6F6A"/>
    <w:rsid w:val="00FF717B"/>
    <w:rsid w:val="00FF7B6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77F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C28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7F8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877F86"/>
    <w:pPr>
      <w:spacing w:after="120"/>
    </w:pPr>
  </w:style>
  <w:style w:type="character" w:customStyle="1" w:styleId="a4">
    <w:name w:val="Основной текст Знак"/>
    <w:basedOn w:val="a0"/>
    <w:link w:val="a3"/>
    <w:rsid w:val="00877F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Мой стиль"/>
    <w:basedOn w:val="a"/>
    <w:rsid w:val="00877F86"/>
    <w:pPr>
      <w:ind w:left="-57" w:firstLine="567"/>
    </w:pPr>
  </w:style>
  <w:style w:type="paragraph" w:styleId="31">
    <w:name w:val="Body Text Indent 3"/>
    <w:basedOn w:val="a"/>
    <w:link w:val="32"/>
    <w:rsid w:val="00877F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77F8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6">
    <w:name w:val="Table Grid"/>
    <w:basedOn w:val="a1"/>
    <w:uiPriority w:val="59"/>
    <w:rsid w:val="00787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04D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4D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28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891E9A"/>
    <w:rPr>
      <w:i/>
      <w:iCs/>
    </w:rPr>
  </w:style>
  <w:style w:type="paragraph" w:styleId="aa">
    <w:name w:val="Normal (Web)"/>
    <w:basedOn w:val="a"/>
    <w:uiPriority w:val="99"/>
    <w:semiHidden/>
    <w:unhideWhenUsed/>
    <w:rsid w:val="003D7B67"/>
    <w:pPr>
      <w:spacing w:before="100" w:beforeAutospacing="1" w:after="100" w:afterAutospacing="1"/>
      <w:jc w:val="left"/>
    </w:pPr>
  </w:style>
  <w:style w:type="paragraph" w:styleId="ab">
    <w:name w:val="header"/>
    <w:basedOn w:val="a"/>
    <w:link w:val="ac"/>
    <w:uiPriority w:val="99"/>
    <w:unhideWhenUsed/>
    <w:rsid w:val="00515F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15F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15F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15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236B44"/>
    <w:rPr>
      <w:color w:val="0000FF"/>
      <w:u w:val="single"/>
    </w:rPr>
  </w:style>
  <w:style w:type="character" w:styleId="af0">
    <w:name w:val="Strong"/>
    <w:basedOn w:val="a0"/>
    <w:uiPriority w:val="22"/>
    <w:qFormat/>
    <w:rsid w:val="00236B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77F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C28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7F8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877F86"/>
    <w:pPr>
      <w:spacing w:after="120"/>
    </w:pPr>
  </w:style>
  <w:style w:type="character" w:customStyle="1" w:styleId="a4">
    <w:name w:val="Основной текст Знак"/>
    <w:basedOn w:val="a0"/>
    <w:link w:val="a3"/>
    <w:rsid w:val="00877F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Мой стиль"/>
    <w:basedOn w:val="a"/>
    <w:rsid w:val="00877F86"/>
    <w:pPr>
      <w:ind w:left="-57" w:firstLine="567"/>
    </w:pPr>
  </w:style>
  <w:style w:type="paragraph" w:styleId="31">
    <w:name w:val="Body Text Indent 3"/>
    <w:basedOn w:val="a"/>
    <w:link w:val="32"/>
    <w:rsid w:val="00877F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77F8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6">
    <w:name w:val="Table Grid"/>
    <w:basedOn w:val="a1"/>
    <w:uiPriority w:val="59"/>
    <w:rsid w:val="00787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04D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4D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28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891E9A"/>
    <w:rPr>
      <w:i/>
      <w:iCs/>
    </w:rPr>
  </w:style>
  <w:style w:type="paragraph" w:styleId="aa">
    <w:name w:val="Normal (Web)"/>
    <w:basedOn w:val="a"/>
    <w:uiPriority w:val="99"/>
    <w:semiHidden/>
    <w:unhideWhenUsed/>
    <w:rsid w:val="003D7B67"/>
    <w:pPr>
      <w:spacing w:before="100" w:beforeAutospacing="1" w:after="100" w:afterAutospacing="1"/>
      <w:jc w:val="left"/>
    </w:pPr>
  </w:style>
  <w:style w:type="paragraph" w:styleId="ab">
    <w:name w:val="header"/>
    <w:basedOn w:val="a"/>
    <w:link w:val="ac"/>
    <w:uiPriority w:val="99"/>
    <w:unhideWhenUsed/>
    <w:rsid w:val="00515F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15F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15F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15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236B44"/>
    <w:rPr>
      <w:color w:val="0000FF"/>
      <w:u w:val="single"/>
    </w:rPr>
  </w:style>
  <w:style w:type="character" w:styleId="af0">
    <w:name w:val="Strong"/>
    <w:basedOn w:val="a0"/>
    <w:uiPriority w:val="22"/>
    <w:qFormat/>
    <w:rsid w:val="00236B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Info('indicator13_23.5.8');" TargetMode="External"/><Relationship Id="rId5" Type="http://schemas.openxmlformats.org/officeDocument/2006/relationships/settings" Target="settings.xml"/><Relationship Id="rId10" Type="http://schemas.openxmlformats.org/officeDocument/2006/relationships/hyperlink" Target="javascript:IInfo('indicator7_17.4.5'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IInfo('indicator14_23.1'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941B3-4E1E-4306-94F3-DA7F8017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2527</TotalTime>
  <Pages>31</Pages>
  <Words>9934</Words>
  <Characters>56624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Ненилина Ирина Геннадьевна</dc:creator>
  <cp:lastModifiedBy>Золотухина Наталья Сергеевна</cp:lastModifiedBy>
  <cp:revision>1605</cp:revision>
  <cp:lastPrinted>2021-10-24T05:55:00Z</cp:lastPrinted>
  <dcterms:created xsi:type="dcterms:W3CDTF">2022-12-06T02:15:00Z</dcterms:created>
  <dcterms:modified xsi:type="dcterms:W3CDTF">2024-11-12T09:26:00Z</dcterms:modified>
</cp:coreProperties>
</file>