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F7A" w:rsidRPr="0096570B" w:rsidRDefault="00057F7A" w:rsidP="00CB3BB2">
      <w:pPr>
        <w:rPr>
          <w:rFonts w:ascii="Arial" w:hAnsi="Arial" w:cs="Arial"/>
          <w:sz w:val="28"/>
          <w:szCs w:val="28"/>
        </w:rPr>
      </w:pPr>
    </w:p>
    <w:tbl>
      <w:tblPr>
        <w:tblW w:w="9867" w:type="dxa"/>
        <w:tblLook w:val="04A0" w:firstRow="1" w:lastRow="0" w:firstColumn="1" w:lastColumn="0" w:noHBand="0" w:noVBand="1"/>
      </w:tblPr>
      <w:tblGrid>
        <w:gridCol w:w="967"/>
        <w:gridCol w:w="4185"/>
        <w:gridCol w:w="1369"/>
        <w:gridCol w:w="236"/>
        <w:gridCol w:w="1150"/>
        <w:gridCol w:w="1644"/>
        <w:gridCol w:w="316"/>
      </w:tblGrid>
      <w:tr w:rsidR="0096570B" w:rsidRPr="0060662F" w:rsidTr="00353269">
        <w:trPr>
          <w:trHeight w:val="312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bookmarkStart w:id="0" w:name="_GoBack" w:colFirst="4" w:colLast="5"/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3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60662F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ru-RU"/>
              </w:rPr>
            </w:pPr>
            <w:r w:rsidRPr="0060662F">
              <w:rPr>
                <w:rFonts w:ascii="Arial" w:eastAsia="Times New Roman" w:hAnsi="Arial" w:cs="Arial"/>
                <w:b/>
                <w:lang w:eastAsia="ru-RU"/>
              </w:rPr>
              <w:t>Приложение 8</w:t>
            </w:r>
          </w:p>
        </w:tc>
      </w:tr>
      <w:tr w:rsidR="0096570B" w:rsidRPr="0060662F" w:rsidTr="00353269">
        <w:trPr>
          <w:trHeight w:val="300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3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60662F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lang w:eastAsia="ru-RU"/>
              </w:rPr>
            </w:pPr>
            <w:r w:rsidRPr="0060662F">
              <w:rPr>
                <w:rFonts w:ascii="Arial" w:eastAsia="Times New Roman" w:hAnsi="Arial" w:cs="Arial"/>
                <w:bCs w:val="0"/>
                <w:lang w:eastAsia="ru-RU"/>
              </w:rPr>
              <w:t xml:space="preserve">к решению </w:t>
            </w:r>
          </w:p>
        </w:tc>
      </w:tr>
      <w:tr w:rsidR="0096570B" w:rsidRPr="0060662F" w:rsidTr="00353269">
        <w:trPr>
          <w:trHeight w:val="300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3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662F" w:rsidRPr="0060662F" w:rsidRDefault="0060662F" w:rsidP="0060662F">
            <w:pPr>
              <w:spacing w:after="0" w:line="240" w:lineRule="auto"/>
              <w:jc w:val="right"/>
              <w:rPr>
                <w:rFonts w:ascii="Arial" w:hAnsi="Arial" w:cs="Arial"/>
                <w:bCs w:val="0"/>
              </w:rPr>
            </w:pPr>
            <w:r w:rsidRPr="0060662F">
              <w:rPr>
                <w:rFonts w:ascii="Arial" w:hAnsi="Arial" w:cs="Arial"/>
              </w:rPr>
              <w:t>от 25.02.2025г. № 33-326</w:t>
            </w:r>
          </w:p>
          <w:p w:rsidR="0096570B" w:rsidRPr="0060662F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lang w:eastAsia="ru-RU"/>
              </w:rPr>
            </w:pPr>
          </w:p>
        </w:tc>
      </w:tr>
      <w:tr w:rsidR="0096570B" w:rsidRPr="0060662F" w:rsidTr="00353269">
        <w:trPr>
          <w:trHeight w:val="264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3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60662F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lang w:eastAsia="ru-RU"/>
              </w:rPr>
            </w:pPr>
          </w:p>
        </w:tc>
      </w:tr>
      <w:tr w:rsidR="0096570B" w:rsidRPr="0060662F" w:rsidTr="00353269">
        <w:trPr>
          <w:trHeight w:val="312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3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60662F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ru-RU"/>
              </w:rPr>
            </w:pPr>
            <w:r w:rsidRPr="0060662F">
              <w:rPr>
                <w:rFonts w:ascii="Arial" w:eastAsia="Times New Roman" w:hAnsi="Arial" w:cs="Arial"/>
                <w:b/>
                <w:lang w:eastAsia="ru-RU"/>
              </w:rPr>
              <w:t>Приложение 13</w:t>
            </w:r>
          </w:p>
        </w:tc>
      </w:tr>
      <w:tr w:rsidR="0096570B" w:rsidRPr="0060662F" w:rsidTr="00353269">
        <w:trPr>
          <w:trHeight w:val="300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3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60662F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lang w:eastAsia="ru-RU"/>
              </w:rPr>
            </w:pPr>
            <w:r w:rsidRPr="0060662F">
              <w:rPr>
                <w:rFonts w:ascii="Arial" w:eastAsia="Times New Roman" w:hAnsi="Arial" w:cs="Arial"/>
                <w:bCs w:val="0"/>
                <w:lang w:eastAsia="ru-RU"/>
              </w:rPr>
              <w:t>к решению</w:t>
            </w:r>
          </w:p>
        </w:tc>
      </w:tr>
      <w:tr w:rsidR="0096570B" w:rsidRPr="0060662F" w:rsidTr="00353269">
        <w:trPr>
          <w:trHeight w:val="300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31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60662F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lang w:eastAsia="ru-RU"/>
              </w:rPr>
            </w:pPr>
            <w:r w:rsidRPr="0060662F">
              <w:rPr>
                <w:rFonts w:ascii="Arial" w:eastAsia="Times New Roman" w:hAnsi="Arial" w:cs="Arial"/>
                <w:bCs w:val="0"/>
                <w:lang w:eastAsia="ru-RU"/>
              </w:rPr>
              <w:t>от 17.12.2024г. № 32-304</w:t>
            </w:r>
          </w:p>
        </w:tc>
      </w:tr>
      <w:bookmarkEnd w:id="0"/>
      <w:tr w:rsidR="0096570B" w:rsidRPr="0096570B" w:rsidTr="00353269">
        <w:trPr>
          <w:gridAfter w:val="1"/>
          <w:wAfter w:w="511" w:type="dxa"/>
          <w:trHeight w:val="276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</w:tr>
      <w:tr w:rsidR="0096570B" w:rsidRPr="0096570B" w:rsidTr="00353269">
        <w:trPr>
          <w:gridAfter w:val="1"/>
          <w:wAfter w:w="511" w:type="dxa"/>
          <w:trHeight w:val="1608"/>
        </w:trPr>
        <w:tc>
          <w:tcPr>
            <w:tcW w:w="935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 xml:space="preserve">Распределение иных межбюджетных трансфертов бюджетам муниципальных образований Каратузского района 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  на 2025 год и плановый период 2026-2027 годов  </w:t>
            </w:r>
          </w:p>
        </w:tc>
      </w:tr>
      <w:tr w:rsidR="0096570B" w:rsidRPr="0096570B" w:rsidTr="00353269">
        <w:trPr>
          <w:gridAfter w:val="1"/>
          <w:wAfter w:w="511" w:type="dxa"/>
          <w:trHeight w:val="300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</w:tr>
      <w:tr w:rsidR="0096570B" w:rsidRPr="0096570B" w:rsidTr="00353269">
        <w:trPr>
          <w:gridAfter w:val="1"/>
          <w:wAfter w:w="511" w:type="dxa"/>
          <w:trHeight w:val="312"/>
        </w:trPr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4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3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(</w:t>
            </w:r>
            <w:proofErr w:type="spellStart"/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тыс.рублей</w:t>
            </w:r>
            <w:proofErr w:type="spellEnd"/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)</w:t>
            </w:r>
          </w:p>
        </w:tc>
      </w:tr>
      <w:tr w:rsidR="004462F0" w:rsidRPr="0096570B" w:rsidTr="00353269">
        <w:trPr>
          <w:gridAfter w:val="1"/>
          <w:wAfter w:w="511" w:type="dxa"/>
          <w:trHeight w:val="285"/>
        </w:trPr>
        <w:tc>
          <w:tcPr>
            <w:tcW w:w="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420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Сумма</w:t>
            </w:r>
          </w:p>
        </w:tc>
      </w:tr>
      <w:tr w:rsidR="0096570B" w:rsidRPr="0096570B" w:rsidTr="00353269">
        <w:trPr>
          <w:gridAfter w:val="1"/>
          <w:wAfter w:w="511" w:type="dxa"/>
          <w:trHeight w:val="675"/>
        </w:trPr>
        <w:tc>
          <w:tcPr>
            <w:tcW w:w="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4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6"/>
                <w:szCs w:val="26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6"/>
                <w:szCs w:val="26"/>
                <w:lang w:eastAsia="ru-RU"/>
              </w:rPr>
              <w:t>2025 год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6"/>
                <w:szCs w:val="26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6"/>
                <w:szCs w:val="26"/>
                <w:lang w:eastAsia="ru-RU"/>
              </w:rPr>
              <w:t>2026 год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6"/>
                <w:szCs w:val="26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6"/>
                <w:szCs w:val="26"/>
                <w:lang w:eastAsia="ru-RU"/>
              </w:rPr>
              <w:t>2027 год</w:t>
            </w:r>
          </w:p>
        </w:tc>
      </w:tr>
      <w:tr w:rsidR="0096570B" w:rsidRPr="0096570B" w:rsidTr="00353269">
        <w:trPr>
          <w:gridAfter w:val="1"/>
          <w:wAfter w:w="511" w:type="dxa"/>
          <w:trHeight w:val="312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4</w:t>
            </w:r>
          </w:p>
        </w:tc>
      </w:tr>
      <w:tr w:rsidR="0096570B" w:rsidRPr="0096570B" w:rsidTr="00353269">
        <w:trPr>
          <w:gridAfter w:val="1"/>
          <w:wAfter w:w="511" w:type="dxa"/>
          <w:trHeight w:val="33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Амыльский сельсовет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246,74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</w:tr>
      <w:tr w:rsidR="0096570B" w:rsidRPr="0096570B" w:rsidTr="00353269">
        <w:trPr>
          <w:gridAfter w:val="1"/>
          <w:wAfter w:w="511" w:type="dxa"/>
          <w:trHeight w:val="360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Верхнекужебарский сельсовет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280,19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</w:tr>
      <w:tr w:rsidR="0096570B" w:rsidRPr="0096570B" w:rsidTr="00353269">
        <w:trPr>
          <w:gridAfter w:val="1"/>
          <w:wAfter w:w="511" w:type="dxa"/>
          <w:trHeight w:val="312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Каратузский сельсовет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509,83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</w:tr>
      <w:tr w:rsidR="0096570B" w:rsidRPr="0096570B" w:rsidTr="00353269">
        <w:trPr>
          <w:gridAfter w:val="1"/>
          <w:wAfter w:w="511" w:type="dxa"/>
          <w:trHeight w:val="312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Качульский сельсовет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256,66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</w:tr>
      <w:tr w:rsidR="0096570B" w:rsidRPr="0096570B" w:rsidTr="00353269">
        <w:trPr>
          <w:gridAfter w:val="1"/>
          <w:wAfter w:w="511" w:type="dxa"/>
          <w:trHeight w:val="312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Лебедевский сельсовет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250,73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</w:tr>
      <w:tr w:rsidR="0096570B" w:rsidRPr="0096570B" w:rsidTr="00353269">
        <w:trPr>
          <w:gridAfter w:val="1"/>
          <w:wAfter w:w="511" w:type="dxa"/>
          <w:trHeight w:val="312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Моторский сельсовет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313,94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</w:tr>
      <w:tr w:rsidR="0096570B" w:rsidRPr="0096570B" w:rsidTr="00353269">
        <w:trPr>
          <w:gridAfter w:val="1"/>
          <w:wAfter w:w="511" w:type="dxa"/>
          <w:trHeight w:val="312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Нижнекужебарский сельсовет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186,29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</w:tr>
      <w:tr w:rsidR="0096570B" w:rsidRPr="0096570B" w:rsidTr="00353269">
        <w:trPr>
          <w:gridAfter w:val="1"/>
          <w:wAfter w:w="511" w:type="dxa"/>
          <w:trHeight w:val="312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Нижнекурятский сельсовет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175,24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</w:tr>
      <w:tr w:rsidR="0096570B" w:rsidRPr="0096570B" w:rsidTr="00353269">
        <w:trPr>
          <w:gridAfter w:val="1"/>
          <w:wAfter w:w="511" w:type="dxa"/>
          <w:trHeight w:val="312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Сагайский сельсовет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185,14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</w:tr>
      <w:tr w:rsidR="0096570B" w:rsidRPr="0096570B" w:rsidTr="00353269">
        <w:trPr>
          <w:gridAfter w:val="1"/>
          <w:wAfter w:w="511" w:type="dxa"/>
          <w:trHeight w:val="312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Старокопский сельсовет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182,67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</w:tr>
      <w:tr w:rsidR="0096570B" w:rsidRPr="0096570B" w:rsidTr="00353269">
        <w:trPr>
          <w:gridAfter w:val="1"/>
          <w:wAfter w:w="511" w:type="dxa"/>
          <w:trHeight w:val="312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Таскинский сельсовет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244,15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</w:tr>
      <w:tr w:rsidR="0096570B" w:rsidRPr="0096570B" w:rsidTr="00353269">
        <w:trPr>
          <w:gridAfter w:val="1"/>
          <w:wAfter w:w="511" w:type="dxa"/>
          <w:trHeight w:val="312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Таятский сельсовет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239,83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</w:tr>
      <w:tr w:rsidR="0096570B" w:rsidRPr="0096570B" w:rsidTr="00353269">
        <w:trPr>
          <w:gridAfter w:val="1"/>
          <w:wAfter w:w="511" w:type="dxa"/>
          <w:trHeight w:val="312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Уджейский сельсовет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236,83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</w:tr>
      <w:tr w:rsidR="0096570B" w:rsidRPr="0096570B" w:rsidTr="00353269">
        <w:trPr>
          <w:gridAfter w:val="1"/>
          <w:wAfter w:w="511" w:type="dxa"/>
          <w:trHeight w:val="312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Черемушинский сельсовет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300,07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0,00</w:t>
            </w:r>
          </w:p>
        </w:tc>
      </w:tr>
      <w:tr w:rsidR="0096570B" w:rsidRPr="0096570B" w:rsidTr="00353269">
        <w:trPr>
          <w:gridAfter w:val="1"/>
          <w:wAfter w:w="511" w:type="dxa"/>
          <w:trHeight w:val="312"/>
        </w:trPr>
        <w:tc>
          <w:tcPr>
            <w:tcW w:w="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570B" w:rsidRPr="0096570B" w:rsidRDefault="0096570B" w:rsidP="009657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Cs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3 608,33</w:t>
            </w:r>
          </w:p>
        </w:tc>
        <w:tc>
          <w:tcPr>
            <w:tcW w:w="13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6570B" w:rsidRPr="0096570B" w:rsidRDefault="0096570B" w:rsidP="0096570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</w:pPr>
            <w:r w:rsidRPr="0096570B">
              <w:rPr>
                <w:rFonts w:ascii="Arial" w:eastAsia="Times New Roman" w:hAnsi="Arial" w:cs="Arial"/>
                <w:b/>
                <w:sz w:val="24"/>
                <w:szCs w:val="24"/>
                <w:lang w:eastAsia="ru-RU"/>
              </w:rPr>
              <w:t>0,00</w:t>
            </w:r>
          </w:p>
        </w:tc>
      </w:tr>
    </w:tbl>
    <w:p w:rsidR="0096570B" w:rsidRDefault="0096570B" w:rsidP="00057F7A">
      <w:pPr>
        <w:ind w:firstLine="567"/>
        <w:jc w:val="center"/>
        <w:rPr>
          <w:rFonts w:ascii="Arial" w:hAnsi="Arial" w:cs="Arial"/>
          <w:sz w:val="24"/>
          <w:szCs w:val="24"/>
        </w:rPr>
      </w:pPr>
    </w:p>
    <w:p w:rsidR="00057F7A" w:rsidRDefault="00057F7A" w:rsidP="00057F7A">
      <w:pPr>
        <w:ind w:firstLine="567"/>
        <w:jc w:val="center"/>
        <w:rPr>
          <w:rFonts w:ascii="Arial" w:hAnsi="Arial" w:cs="Arial"/>
          <w:sz w:val="24"/>
          <w:szCs w:val="24"/>
          <w:lang w:eastAsia="ru-RU"/>
        </w:rPr>
      </w:pPr>
      <w:r w:rsidRPr="00EB6711">
        <w:rPr>
          <w:rFonts w:ascii="Arial" w:hAnsi="Arial" w:cs="Arial"/>
          <w:sz w:val="24"/>
          <w:szCs w:val="24"/>
        </w:rPr>
        <w:t xml:space="preserve">Порядок и условия предоставления </w:t>
      </w:r>
      <w:r w:rsidRPr="00EB6711">
        <w:rPr>
          <w:rFonts w:ascii="Arial" w:hAnsi="Arial" w:cs="Arial"/>
          <w:sz w:val="24"/>
          <w:szCs w:val="24"/>
          <w:lang w:eastAsia="ru-RU"/>
        </w:rPr>
        <w:t xml:space="preserve">иных межбюджетных трансфертов из районного бюджета бюджетам муниципальных образований Каратузского района </w:t>
      </w:r>
      <w:r w:rsidR="0099450B" w:rsidRPr="0099450B">
        <w:rPr>
          <w:rFonts w:ascii="Arial" w:hAnsi="Arial" w:cs="Arial"/>
          <w:sz w:val="24"/>
          <w:szCs w:val="24"/>
          <w:lang w:eastAsia="ru-RU"/>
        </w:rPr>
        <w:t>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</w:t>
      </w:r>
    </w:p>
    <w:p w:rsidR="0099450B" w:rsidRPr="00EB6711" w:rsidRDefault="0099450B" w:rsidP="00AD3148">
      <w:pPr>
        <w:ind w:firstLine="567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057F7A" w:rsidRPr="00EB6711" w:rsidRDefault="00057F7A" w:rsidP="00AD314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B6711">
        <w:rPr>
          <w:rFonts w:ascii="Arial" w:hAnsi="Arial" w:cs="Arial"/>
          <w:sz w:val="24"/>
          <w:szCs w:val="24"/>
        </w:rPr>
        <w:t xml:space="preserve">1.1. Порядок и условия предоставления в </w:t>
      </w:r>
      <w:r w:rsidR="007F53E8">
        <w:rPr>
          <w:rFonts w:ascii="Arial" w:hAnsi="Arial" w:cs="Arial"/>
          <w:sz w:val="24"/>
          <w:szCs w:val="24"/>
        </w:rPr>
        <w:t>2025</w:t>
      </w:r>
      <w:r w:rsidRPr="00EB6711">
        <w:rPr>
          <w:rFonts w:ascii="Arial" w:hAnsi="Arial" w:cs="Arial"/>
          <w:sz w:val="24"/>
          <w:szCs w:val="24"/>
        </w:rPr>
        <w:t xml:space="preserve"> году иных межбюджетных трансфертов из районного бюджета бюджетам муниципальных образований Каратузского района </w:t>
      </w:r>
      <w:r w:rsidR="007F53E8" w:rsidRPr="0099450B">
        <w:rPr>
          <w:rFonts w:ascii="Arial" w:hAnsi="Arial" w:cs="Arial"/>
          <w:sz w:val="24"/>
          <w:szCs w:val="24"/>
          <w:lang w:eastAsia="ru-RU"/>
        </w:rPr>
        <w:t>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</w:t>
      </w:r>
      <w:r w:rsidRPr="00EB6711">
        <w:rPr>
          <w:rFonts w:ascii="Arial" w:hAnsi="Arial" w:cs="Arial"/>
          <w:sz w:val="24"/>
          <w:szCs w:val="24"/>
        </w:rPr>
        <w:t xml:space="preserve"> (далее Порядок), устанавливает процедуры </w:t>
      </w:r>
      <w:r w:rsidRPr="00EB6711">
        <w:rPr>
          <w:rFonts w:ascii="Arial" w:hAnsi="Arial" w:cs="Arial"/>
          <w:sz w:val="24"/>
          <w:szCs w:val="24"/>
        </w:rPr>
        <w:lastRenderedPageBreak/>
        <w:t xml:space="preserve">предоставления иных межбюджетных трансфертов из районного бюджета бюджетам муниципальных образований Каратузского района </w:t>
      </w:r>
      <w:r w:rsidR="007F53E8" w:rsidRPr="0099450B">
        <w:rPr>
          <w:rFonts w:ascii="Arial" w:hAnsi="Arial" w:cs="Arial"/>
          <w:sz w:val="24"/>
          <w:szCs w:val="24"/>
          <w:lang w:eastAsia="ru-RU"/>
        </w:rPr>
        <w:t>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</w:t>
      </w:r>
      <w:r w:rsidRPr="00EB6711">
        <w:rPr>
          <w:rFonts w:ascii="Arial" w:hAnsi="Arial" w:cs="Arial"/>
          <w:sz w:val="24"/>
          <w:szCs w:val="24"/>
        </w:rPr>
        <w:t xml:space="preserve"> (далее поселения района), </w:t>
      </w:r>
      <w:r w:rsidR="007F53E8">
        <w:rPr>
          <w:rFonts w:ascii="Arial" w:hAnsi="Arial" w:cs="Arial"/>
          <w:sz w:val="24"/>
          <w:szCs w:val="24"/>
        </w:rPr>
        <w:t xml:space="preserve">на финансовое обеспечение (возмещение) расходов на увеличение размеров оплаты труда отдельным категориям работников с 1 января 2025 года </w:t>
      </w:r>
      <w:r w:rsidRPr="00EB6711">
        <w:rPr>
          <w:rFonts w:ascii="Arial" w:hAnsi="Arial" w:cs="Arial"/>
          <w:sz w:val="24"/>
          <w:szCs w:val="24"/>
        </w:rPr>
        <w:t>(далее – Иной межбюджетный трансферт).</w:t>
      </w:r>
    </w:p>
    <w:p w:rsidR="007F53E8" w:rsidRDefault="007F53E8" w:rsidP="00057F7A">
      <w:pPr>
        <w:pStyle w:val="a3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>
        <w:rPr>
          <w:rFonts w:ascii="Arial" w:eastAsia="Calibri" w:hAnsi="Arial" w:cs="Arial"/>
          <w:sz w:val="24"/>
          <w:szCs w:val="24"/>
          <w:lang w:eastAsia="ru-RU"/>
        </w:rPr>
        <w:t>1.</w:t>
      </w:r>
      <w:r w:rsidR="00AD3148">
        <w:rPr>
          <w:rFonts w:ascii="Arial" w:eastAsia="Calibri" w:hAnsi="Arial" w:cs="Arial"/>
          <w:sz w:val="24"/>
          <w:szCs w:val="24"/>
          <w:lang w:eastAsia="ru-RU"/>
        </w:rPr>
        <w:t>2</w:t>
      </w:r>
      <w:r>
        <w:rPr>
          <w:rFonts w:ascii="Arial" w:eastAsia="Calibri" w:hAnsi="Arial" w:cs="Arial"/>
          <w:sz w:val="24"/>
          <w:szCs w:val="24"/>
          <w:lang w:eastAsia="ru-RU"/>
        </w:rPr>
        <w:t>. П</w:t>
      </w:r>
      <w:r w:rsidRPr="007F53E8">
        <w:rPr>
          <w:rFonts w:ascii="Arial" w:eastAsia="Calibri" w:hAnsi="Arial" w:cs="Arial"/>
          <w:sz w:val="24"/>
          <w:szCs w:val="24"/>
          <w:lang w:eastAsia="ru-RU"/>
        </w:rPr>
        <w:t>од отдельными категориями работников</w:t>
      </w:r>
      <w:r>
        <w:rPr>
          <w:rFonts w:ascii="Arial" w:eastAsia="Calibri" w:hAnsi="Arial" w:cs="Arial"/>
          <w:sz w:val="24"/>
          <w:szCs w:val="24"/>
          <w:lang w:eastAsia="ru-RU"/>
        </w:rPr>
        <w:t xml:space="preserve"> (указанных в п</w:t>
      </w:r>
      <w:r w:rsidR="006E3214">
        <w:rPr>
          <w:rFonts w:ascii="Arial" w:eastAsia="Calibri" w:hAnsi="Arial" w:cs="Arial"/>
          <w:sz w:val="24"/>
          <w:szCs w:val="24"/>
          <w:lang w:eastAsia="ru-RU"/>
        </w:rPr>
        <w:t xml:space="preserve">ункте </w:t>
      </w:r>
      <w:r>
        <w:rPr>
          <w:rFonts w:ascii="Arial" w:eastAsia="Calibri" w:hAnsi="Arial" w:cs="Arial"/>
          <w:sz w:val="24"/>
          <w:szCs w:val="24"/>
          <w:lang w:eastAsia="ru-RU"/>
        </w:rPr>
        <w:t>1.1.</w:t>
      </w:r>
      <w:r w:rsidR="00AD3148">
        <w:rPr>
          <w:rFonts w:ascii="Arial" w:eastAsia="Calibri" w:hAnsi="Arial" w:cs="Arial"/>
          <w:sz w:val="24"/>
          <w:szCs w:val="24"/>
          <w:lang w:eastAsia="ru-RU"/>
        </w:rPr>
        <w:t xml:space="preserve"> </w:t>
      </w:r>
      <w:r w:rsidR="00D91593">
        <w:rPr>
          <w:rFonts w:ascii="Arial" w:eastAsia="Calibri" w:hAnsi="Arial" w:cs="Arial"/>
          <w:sz w:val="24"/>
          <w:szCs w:val="24"/>
          <w:lang w:eastAsia="ru-RU"/>
        </w:rPr>
        <w:t>Порядка</w:t>
      </w:r>
      <w:r>
        <w:rPr>
          <w:rFonts w:ascii="Arial" w:eastAsia="Calibri" w:hAnsi="Arial" w:cs="Arial"/>
          <w:sz w:val="24"/>
          <w:szCs w:val="24"/>
          <w:lang w:eastAsia="ru-RU"/>
        </w:rPr>
        <w:t>)</w:t>
      </w:r>
      <w:r w:rsidRPr="007F53E8">
        <w:rPr>
          <w:rFonts w:ascii="Arial" w:eastAsia="Calibri" w:hAnsi="Arial" w:cs="Arial"/>
          <w:sz w:val="24"/>
          <w:szCs w:val="24"/>
          <w:lang w:eastAsia="ru-RU"/>
        </w:rPr>
        <w:t xml:space="preserve"> понимаются работники, указанные в пункте 1 Постановления Совета администрации Красноярского края от 14.11.2006 N 348-п "О формировании прогноза расходов консолидированного бюджета Красноярского края на содержание органов местного самоуправления и муниципальных органов"</w:t>
      </w:r>
      <w:r w:rsidR="00AD3148">
        <w:rPr>
          <w:rFonts w:ascii="Arial" w:eastAsia="Calibri" w:hAnsi="Arial" w:cs="Arial"/>
          <w:sz w:val="24"/>
          <w:szCs w:val="24"/>
          <w:lang w:eastAsia="ru-RU"/>
        </w:rPr>
        <w:t>.</w:t>
      </w:r>
    </w:p>
    <w:p w:rsidR="003A0F97" w:rsidRPr="00503ED4" w:rsidRDefault="00503ED4" w:rsidP="003A0F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Cs w:val="0"/>
          <w:sz w:val="24"/>
          <w:szCs w:val="24"/>
        </w:rPr>
      </w:pPr>
      <w:r>
        <w:rPr>
          <w:rFonts w:ascii="Arial" w:hAnsi="Arial" w:cs="Arial"/>
          <w:bCs w:val="0"/>
          <w:sz w:val="24"/>
          <w:szCs w:val="24"/>
        </w:rPr>
        <w:t xml:space="preserve">1.3. </w:t>
      </w:r>
      <w:r w:rsidR="003A0F97">
        <w:rPr>
          <w:rFonts w:ascii="Arial" w:hAnsi="Arial" w:cs="Arial"/>
          <w:bCs w:val="0"/>
          <w:sz w:val="24"/>
          <w:szCs w:val="24"/>
        </w:rPr>
        <w:t xml:space="preserve">За счет средств Иного межбюджетного трансферта производятся расходы в целях софинансирования, в том числе в полном объеме, расходных обязательств поселений по финансовому обеспечению (возмещению) расходов на увеличение размеров оплаты труда отдельным категориям работников, указанным в </w:t>
      </w:r>
      <w:hyperlink r:id="rId4" w:history="1">
        <w:r w:rsidR="003A0F97" w:rsidRPr="00503ED4">
          <w:rPr>
            <w:rFonts w:ascii="Arial" w:hAnsi="Arial" w:cs="Arial"/>
            <w:bCs w:val="0"/>
            <w:sz w:val="24"/>
            <w:szCs w:val="24"/>
          </w:rPr>
          <w:t>пункте 1.2</w:t>
        </w:r>
      </w:hyperlink>
      <w:r w:rsidR="003A0F97" w:rsidRPr="00503ED4">
        <w:rPr>
          <w:rFonts w:ascii="Arial" w:hAnsi="Arial" w:cs="Arial"/>
          <w:bCs w:val="0"/>
          <w:sz w:val="24"/>
          <w:szCs w:val="24"/>
        </w:rPr>
        <w:t xml:space="preserve"> </w:t>
      </w:r>
      <w:r>
        <w:rPr>
          <w:rFonts w:ascii="Arial" w:hAnsi="Arial" w:cs="Arial"/>
          <w:bCs w:val="0"/>
          <w:sz w:val="24"/>
          <w:szCs w:val="24"/>
        </w:rPr>
        <w:t>Порядка</w:t>
      </w:r>
      <w:r w:rsidR="003A0F97" w:rsidRPr="00503ED4">
        <w:rPr>
          <w:rFonts w:ascii="Arial" w:hAnsi="Arial" w:cs="Arial"/>
          <w:bCs w:val="0"/>
          <w:sz w:val="24"/>
          <w:szCs w:val="24"/>
        </w:rPr>
        <w:t>, с 1 января 2025 года.</w:t>
      </w:r>
    </w:p>
    <w:p w:rsidR="00AD3148" w:rsidRDefault="00AD3148" w:rsidP="00AD3148">
      <w:pPr>
        <w:pStyle w:val="a3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EB6711">
        <w:rPr>
          <w:rFonts w:ascii="Arial" w:hAnsi="Arial" w:cs="Arial"/>
          <w:sz w:val="24"/>
          <w:szCs w:val="24"/>
        </w:rPr>
        <w:t>1.</w:t>
      </w:r>
      <w:r w:rsidR="0003480D">
        <w:rPr>
          <w:rFonts w:ascii="Arial" w:hAnsi="Arial" w:cs="Arial"/>
          <w:sz w:val="24"/>
          <w:szCs w:val="24"/>
        </w:rPr>
        <w:t>4</w:t>
      </w:r>
      <w:r w:rsidRPr="00EB6711">
        <w:rPr>
          <w:rFonts w:ascii="Arial" w:hAnsi="Arial" w:cs="Arial"/>
          <w:sz w:val="24"/>
          <w:szCs w:val="24"/>
        </w:rPr>
        <w:t xml:space="preserve">. </w:t>
      </w:r>
      <w:r w:rsidRPr="00EB6711">
        <w:rPr>
          <w:rFonts w:ascii="Arial" w:eastAsia="Calibri" w:hAnsi="Arial" w:cs="Arial"/>
          <w:sz w:val="24"/>
          <w:szCs w:val="24"/>
          <w:lang w:eastAsia="ru-RU"/>
        </w:rPr>
        <w:t>Главным распорядителем средств бюджета Каратузского района</w:t>
      </w:r>
      <w:r w:rsidRPr="00EB6711">
        <w:rPr>
          <w:rFonts w:ascii="Arial" w:eastAsia="Calibri" w:hAnsi="Arial" w:cs="Arial"/>
          <w:sz w:val="24"/>
          <w:szCs w:val="24"/>
          <w:lang w:eastAsia="ru-RU"/>
        </w:rPr>
        <w:br/>
        <w:t>по предоставлению Иного межбюджетного трансферта является финансовое управление администрации Каратузского района (далее Финуправление района).</w:t>
      </w:r>
    </w:p>
    <w:p w:rsidR="00057F7A" w:rsidRPr="00EB6711" w:rsidRDefault="00057F7A" w:rsidP="00057F7A">
      <w:pPr>
        <w:pStyle w:val="a3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EB6711">
        <w:rPr>
          <w:rFonts w:ascii="Arial" w:eastAsia="Calibri" w:hAnsi="Arial" w:cs="Arial"/>
          <w:sz w:val="24"/>
          <w:szCs w:val="24"/>
          <w:lang w:eastAsia="ru-RU"/>
        </w:rPr>
        <w:t>1.</w:t>
      </w:r>
      <w:r w:rsidR="0003480D">
        <w:rPr>
          <w:rFonts w:ascii="Arial" w:eastAsia="Calibri" w:hAnsi="Arial" w:cs="Arial"/>
          <w:sz w:val="24"/>
          <w:szCs w:val="24"/>
          <w:lang w:eastAsia="ru-RU"/>
        </w:rPr>
        <w:t>5</w:t>
      </w:r>
      <w:r w:rsidRPr="00EB6711">
        <w:rPr>
          <w:rFonts w:ascii="Arial" w:eastAsia="Calibri" w:hAnsi="Arial" w:cs="Arial"/>
          <w:sz w:val="24"/>
          <w:szCs w:val="24"/>
          <w:lang w:eastAsia="ru-RU"/>
        </w:rPr>
        <w:t xml:space="preserve">. Иные межбюджетные трансферты предоставляются бюджетам поселений района при соблюдении следующих условий: </w:t>
      </w:r>
    </w:p>
    <w:p w:rsidR="00057F7A" w:rsidRDefault="00057F7A" w:rsidP="00057F7A">
      <w:pPr>
        <w:pStyle w:val="a3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EB6711">
        <w:rPr>
          <w:rFonts w:ascii="Arial" w:eastAsia="Calibri" w:hAnsi="Arial" w:cs="Arial"/>
          <w:sz w:val="24"/>
          <w:szCs w:val="24"/>
          <w:lang w:eastAsia="ru-RU"/>
        </w:rPr>
        <w:t xml:space="preserve">- наличие муниципальных правовых актов органов местного самоуправления поселений района, </w:t>
      </w:r>
      <w:r w:rsidR="007F53E8" w:rsidRPr="007F53E8">
        <w:rPr>
          <w:rFonts w:ascii="Arial" w:eastAsia="Calibri" w:hAnsi="Arial" w:cs="Arial"/>
          <w:sz w:val="24"/>
          <w:szCs w:val="24"/>
          <w:lang w:eastAsia="ru-RU"/>
        </w:rPr>
        <w:t xml:space="preserve">об оплате труда отдельных категорий работников, указанных в пункте 1.2 </w:t>
      </w:r>
      <w:r w:rsidR="00AD3148">
        <w:rPr>
          <w:rFonts w:ascii="Arial" w:eastAsia="Calibri" w:hAnsi="Arial" w:cs="Arial"/>
          <w:sz w:val="24"/>
          <w:szCs w:val="24"/>
          <w:lang w:eastAsia="ru-RU"/>
        </w:rPr>
        <w:t>Порядка</w:t>
      </w:r>
      <w:r w:rsidR="007F53E8" w:rsidRPr="007F53E8">
        <w:rPr>
          <w:rFonts w:ascii="Arial" w:eastAsia="Calibri" w:hAnsi="Arial" w:cs="Arial"/>
          <w:sz w:val="24"/>
          <w:szCs w:val="24"/>
          <w:lang w:eastAsia="ru-RU"/>
        </w:rPr>
        <w:t xml:space="preserve">, принятого с соблюдением положений Постановления Совета администрации Красноярского края от 29.12.2007 N 512-п "О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служащих" </w:t>
      </w:r>
      <w:r w:rsidRPr="00EB6711">
        <w:rPr>
          <w:rFonts w:ascii="Arial" w:eastAsia="Calibri" w:hAnsi="Arial" w:cs="Arial"/>
          <w:sz w:val="24"/>
          <w:szCs w:val="24"/>
          <w:lang w:eastAsia="ru-RU"/>
        </w:rPr>
        <w:t>(далее – муниципальный правовой акт);</w:t>
      </w:r>
    </w:p>
    <w:p w:rsidR="00057F7A" w:rsidRPr="00EB6711" w:rsidRDefault="00057F7A" w:rsidP="00057F7A">
      <w:pPr>
        <w:pStyle w:val="a3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EB6711">
        <w:rPr>
          <w:rFonts w:ascii="Arial" w:eastAsia="Calibri" w:hAnsi="Arial" w:cs="Arial"/>
          <w:sz w:val="24"/>
          <w:szCs w:val="24"/>
          <w:lang w:eastAsia="ru-RU"/>
        </w:rPr>
        <w:t>1.</w:t>
      </w:r>
      <w:r w:rsidR="0003480D">
        <w:rPr>
          <w:rFonts w:ascii="Arial" w:eastAsia="Calibri" w:hAnsi="Arial" w:cs="Arial"/>
          <w:sz w:val="24"/>
          <w:szCs w:val="24"/>
          <w:lang w:eastAsia="ru-RU"/>
        </w:rPr>
        <w:t>6</w:t>
      </w:r>
      <w:r w:rsidRPr="00EB6711">
        <w:rPr>
          <w:rFonts w:ascii="Arial" w:eastAsia="Calibri" w:hAnsi="Arial" w:cs="Arial"/>
          <w:sz w:val="24"/>
          <w:szCs w:val="24"/>
          <w:lang w:eastAsia="ru-RU"/>
        </w:rPr>
        <w:t xml:space="preserve">. Для получения Иного межбюджетного трансферта администрация сельского поселения в срок до </w:t>
      </w:r>
      <w:r w:rsidR="007278B1">
        <w:rPr>
          <w:rFonts w:ascii="Arial" w:eastAsia="Calibri" w:hAnsi="Arial" w:cs="Arial"/>
          <w:sz w:val="24"/>
          <w:szCs w:val="24"/>
          <w:lang w:eastAsia="ru-RU"/>
        </w:rPr>
        <w:t>0</w:t>
      </w:r>
      <w:r w:rsidR="00EF6575">
        <w:rPr>
          <w:rFonts w:ascii="Arial" w:eastAsia="Calibri" w:hAnsi="Arial" w:cs="Arial"/>
          <w:sz w:val="24"/>
          <w:szCs w:val="24"/>
          <w:lang w:eastAsia="ru-RU"/>
        </w:rPr>
        <w:t>3</w:t>
      </w:r>
      <w:r w:rsidR="007278B1">
        <w:rPr>
          <w:rFonts w:ascii="Arial" w:eastAsia="Calibri" w:hAnsi="Arial" w:cs="Arial"/>
          <w:sz w:val="24"/>
          <w:szCs w:val="24"/>
          <w:lang w:eastAsia="ru-RU"/>
        </w:rPr>
        <w:t xml:space="preserve"> марта</w:t>
      </w:r>
      <w:r w:rsidR="00AD3148">
        <w:rPr>
          <w:rFonts w:ascii="Arial" w:eastAsia="Calibri" w:hAnsi="Arial" w:cs="Arial"/>
          <w:sz w:val="24"/>
          <w:szCs w:val="24"/>
          <w:lang w:eastAsia="ru-RU"/>
        </w:rPr>
        <w:t xml:space="preserve"> 2025</w:t>
      </w:r>
      <w:r w:rsidRPr="00EB6711">
        <w:rPr>
          <w:rFonts w:ascii="Arial" w:eastAsia="Calibri" w:hAnsi="Arial" w:cs="Arial"/>
          <w:sz w:val="24"/>
          <w:szCs w:val="24"/>
          <w:lang w:eastAsia="ru-RU"/>
        </w:rPr>
        <w:t xml:space="preserve"> года с нарочным </w:t>
      </w:r>
      <w:r w:rsidRPr="00EB6711">
        <w:rPr>
          <w:rFonts w:ascii="Arial" w:eastAsia="Calibri" w:hAnsi="Arial" w:cs="Arial"/>
          <w:sz w:val="24"/>
          <w:szCs w:val="24"/>
          <w:lang w:eastAsia="ru-RU"/>
        </w:rPr>
        <w:br/>
      </w:r>
      <w:r w:rsidRPr="00EB6711">
        <w:rPr>
          <w:rFonts w:ascii="Arial" w:eastAsia="Calibri" w:hAnsi="Arial" w:cs="Arial"/>
          <w:spacing w:val="-8"/>
          <w:sz w:val="24"/>
          <w:szCs w:val="24"/>
          <w:lang w:eastAsia="ru-RU"/>
        </w:rPr>
        <w:t>или почтовым отправлением представляет в Финуправление района копию муниципального</w:t>
      </w:r>
      <w:r w:rsidRPr="00EB6711">
        <w:rPr>
          <w:rFonts w:ascii="Arial" w:eastAsia="Calibri" w:hAnsi="Arial" w:cs="Arial"/>
          <w:sz w:val="24"/>
          <w:szCs w:val="24"/>
          <w:lang w:eastAsia="ru-RU"/>
        </w:rPr>
        <w:t xml:space="preserve"> правового акта, </w:t>
      </w:r>
      <w:r w:rsidRPr="00EB6711">
        <w:rPr>
          <w:rFonts w:ascii="Arial" w:eastAsia="Calibri" w:hAnsi="Arial" w:cs="Arial"/>
          <w:spacing w:val="-4"/>
          <w:sz w:val="24"/>
          <w:szCs w:val="24"/>
          <w:lang w:eastAsia="ru-RU"/>
        </w:rPr>
        <w:t xml:space="preserve">заверенную главой поселения района </w:t>
      </w:r>
      <w:r w:rsidRPr="00EB6711">
        <w:rPr>
          <w:rFonts w:ascii="Arial" w:eastAsia="Calibri" w:hAnsi="Arial" w:cs="Arial"/>
          <w:sz w:val="24"/>
          <w:szCs w:val="24"/>
          <w:lang w:eastAsia="ru-RU"/>
        </w:rPr>
        <w:t>или уполномоченным им лицом (далее – уполномоченное лицо).</w:t>
      </w:r>
    </w:p>
    <w:p w:rsidR="00057F7A" w:rsidRPr="00EB6711" w:rsidRDefault="00057F7A" w:rsidP="00057F7A">
      <w:pPr>
        <w:pStyle w:val="a3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EB6711">
        <w:rPr>
          <w:rFonts w:ascii="Arial" w:eastAsia="Calibri" w:hAnsi="Arial" w:cs="Arial"/>
          <w:sz w:val="24"/>
          <w:szCs w:val="24"/>
          <w:lang w:eastAsia="ru-RU"/>
        </w:rPr>
        <w:t>В случае заверения копии муниципального правового акта уполномоченным лицом прилагается документ, подтверждающий полномочия уполномоченного лица на заверение и предоставление копии муниципального правового акта.</w:t>
      </w:r>
    </w:p>
    <w:p w:rsidR="00057F7A" w:rsidRPr="00EB6711" w:rsidRDefault="00057F7A" w:rsidP="00057F7A">
      <w:pPr>
        <w:pStyle w:val="a3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EB6711">
        <w:rPr>
          <w:rFonts w:ascii="Arial" w:eastAsia="Calibri" w:hAnsi="Arial" w:cs="Arial"/>
          <w:sz w:val="24"/>
          <w:szCs w:val="24"/>
          <w:lang w:eastAsia="ru-RU"/>
        </w:rPr>
        <w:t>1.</w:t>
      </w:r>
      <w:r w:rsidR="0003480D">
        <w:rPr>
          <w:rFonts w:ascii="Arial" w:eastAsia="Calibri" w:hAnsi="Arial" w:cs="Arial"/>
          <w:sz w:val="24"/>
          <w:szCs w:val="24"/>
          <w:lang w:eastAsia="ru-RU"/>
        </w:rPr>
        <w:t>7</w:t>
      </w:r>
      <w:r w:rsidRPr="00EB6711">
        <w:rPr>
          <w:rFonts w:ascii="Arial" w:eastAsia="Calibri" w:hAnsi="Arial" w:cs="Arial"/>
          <w:sz w:val="24"/>
          <w:szCs w:val="24"/>
          <w:lang w:eastAsia="ru-RU"/>
        </w:rPr>
        <w:t xml:space="preserve">. Финуправление в течение 5 рабочих дней со дня получения копии муниципального правового акта осуществляет </w:t>
      </w:r>
      <w:r w:rsidRPr="00EB6711">
        <w:rPr>
          <w:rFonts w:ascii="Arial" w:eastAsia="Calibri" w:hAnsi="Arial" w:cs="Arial"/>
          <w:spacing w:val="-4"/>
          <w:sz w:val="24"/>
          <w:szCs w:val="24"/>
          <w:lang w:eastAsia="ru-RU"/>
        </w:rPr>
        <w:t>проверку поселения района на соответствие условиям предоставления</w:t>
      </w:r>
      <w:r w:rsidRPr="00EB6711">
        <w:rPr>
          <w:rFonts w:ascii="Arial" w:eastAsia="Calibri" w:hAnsi="Arial" w:cs="Arial"/>
          <w:sz w:val="24"/>
          <w:szCs w:val="24"/>
          <w:lang w:eastAsia="ru-RU"/>
        </w:rPr>
        <w:t xml:space="preserve"> Иного межбюджетного трансферта, установленным в пункте 1.</w:t>
      </w:r>
      <w:r w:rsidR="0003480D">
        <w:rPr>
          <w:rFonts w:ascii="Arial" w:eastAsia="Calibri" w:hAnsi="Arial" w:cs="Arial"/>
          <w:sz w:val="24"/>
          <w:szCs w:val="24"/>
          <w:lang w:eastAsia="ru-RU"/>
        </w:rPr>
        <w:t>5</w:t>
      </w:r>
      <w:r w:rsidRPr="00EB6711">
        <w:rPr>
          <w:rFonts w:ascii="Arial" w:eastAsia="Calibri" w:hAnsi="Arial" w:cs="Arial"/>
          <w:sz w:val="24"/>
          <w:szCs w:val="24"/>
          <w:lang w:eastAsia="ru-RU"/>
        </w:rPr>
        <w:t xml:space="preserve">. </w:t>
      </w:r>
      <w:r w:rsidR="0039504C">
        <w:rPr>
          <w:rFonts w:ascii="Arial" w:eastAsia="Calibri" w:hAnsi="Arial" w:cs="Arial"/>
          <w:sz w:val="24"/>
          <w:szCs w:val="24"/>
          <w:lang w:eastAsia="ru-RU"/>
        </w:rPr>
        <w:t xml:space="preserve">Порядка </w:t>
      </w:r>
      <w:r w:rsidRPr="00EB6711">
        <w:rPr>
          <w:rFonts w:ascii="Arial" w:eastAsia="Calibri" w:hAnsi="Arial" w:cs="Arial"/>
          <w:sz w:val="24"/>
          <w:szCs w:val="24"/>
          <w:lang w:eastAsia="ru-RU"/>
        </w:rPr>
        <w:t>на соблюдение срока и порядка представления копии муниципального правового акта, на наличие документа, подтверждающего полномочия уполномоченного лица.</w:t>
      </w:r>
    </w:p>
    <w:p w:rsidR="00057F7A" w:rsidRPr="00EB6711" w:rsidRDefault="00057F7A" w:rsidP="00057F7A">
      <w:pPr>
        <w:pStyle w:val="a3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EB6711">
        <w:rPr>
          <w:rFonts w:ascii="Arial" w:eastAsia="Calibri" w:hAnsi="Arial" w:cs="Arial"/>
          <w:sz w:val="24"/>
          <w:szCs w:val="24"/>
          <w:lang w:eastAsia="ru-RU"/>
        </w:rPr>
        <w:t>1.</w:t>
      </w:r>
      <w:r w:rsidR="0003480D">
        <w:rPr>
          <w:rFonts w:ascii="Arial" w:eastAsia="Calibri" w:hAnsi="Arial" w:cs="Arial"/>
          <w:sz w:val="24"/>
          <w:szCs w:val="24"/>
          <w:lang w:eastAsia="ru-RU"/>
        </w:rPr>
        <w:t>8</w:t>
      </w:r>
      <w:r w:rsidRPr="00EB6711">
        <w:rPr>
          <w:rFonts w:ascii="Arial" w:eastAsia="Calibri" w:hAnsi="Arial" w:cs="Arial"/>
          <w:sz w:val="24"/>
          <w:szCs w:val="24"/>
          <w:lang w:eastAsia="ru-RU"/>
        </w:rPr>
        <w:t xml:space="preserve">. Перечисление иного межбюджетного трансферта осуществляется Финуправлением района на основании соглашения о предоставлении иных межбюджетных трансфертов (далее Соглашение), заключенного между Финуправлением района и администрацией поселения района. </w:t>
      </w:r>
    </w:p>
    <w:p w:rsidR="00057F7A" w:rsidRPr="00EB6711" w:rsidRDefault="00057F7A" w:rsidP="00057F7A">
      <w:pPr>
        <w:pStyle w:val="a3"/>
        <w:ind w:firstLine="567"/>
        <w:rPr>
          <w:rFonts w:ascii="Arial" w:eastAsia="Calibri" w:hAnsi="Arial" w:cs="Arial"/>
          <w:sz w:val="24"/>
          <w:szCs w:val="24"/>
          <w:lang w:eastAsia="ru-RU"/>
        </w:rPr>
      </w:pPr>
      <w:r w:rsidRPr="00EB6711">
        <w:rPr>
          <w:rFonts w:ascii="Arial" w:eastAsia="Calibri" w:hAnsi="Arial" w:cs="Arial"/>
          <w:sz w:val="24"/>
          <w:szCs w:val="24"/>
          <w:lang w:eastAsia="ru-RU"/>
        </w:rPr>
        <w:t>1.</w:t>
      </w:r>
      <w:r w:rsidR="0003480D">
        <w:rPr>
          <w:rFonts w:ascii="Arial" w:eastAsia="Calibri" w:hAnsi="Arial" w:cs="Arial"/>
          <w:sz w:val="24"/>
          <w:szCs w:val="24"/>
          <w:lang w:eastAsia="ru-RU"/>
        </w:rPr>
        <w:t>9</w:t>
      </w:r>
      <w:r w:rsidRPr="00EB6711">
        <w:rPr>
          <w:rFonts w:ascii="Arial" w:eastAsia="Calibri" w:hAnsi="Arial" w:cs="Arial"/>
          <w:sz w:val="24"/>
          <w:szCs w:val="24"/>
          <w:lang w:eastAsia="ru-RU"/>
        </w:rPr>
        <w:t>. Ответственность за целевое использование полученных средств иного межбюджетного трансферта возлагается на администрации поселений района.</w:t>
      </w:r>
    </w:p>
    <w:p w:rsidR="00545E56" w:rsidRPr="00EB6711" w:rsidRDefault="0060662F">
      <w:pPr>
        <w:rPr>
          <w:rFonts w:ascii="Arial" w:hAnsi="Arial" w:cs="Arial"/>
          <w:sz w:val="24"/>
          <w:szCs w:val="24"/>
        </w:rPr>
      </w:pPr>
    </w:p>
    <w:sectPr w:rsidR="00545E56" w:rsidRPr="00EB6711" w:rsidSect="0096570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F7A"/>
    <w:rsid w:val="0003480D"/>
    <w:rsid w:val="00057F7A"/>
    <w:rsid w:val="0015130A"/>
    <w:rsid w:val="00161B88"/>
    <w:rsid w:val="001F52DC"/>
    <w:rsid w:val="002C0482"/>
    <w:rsid w:val="00340757"/>
    <w:rsid w:val="00353269"/>
    <w:rsid w:val="0037385B"/>
    <w:rsid w:val="0039504C"/>
    <w:rsid w:val="003A0F97"/>
    <w:rsid w:val="00431BA9"/>
    <w:rsid w:val="004462F0"/>
    <w:rsid w:val="004D0992"/>
    <w:rsid w:val="00503ED4"/>
    <w:rsid w:val="0060662F"/>
    <w:rsid w:val="006B3D4B"/>
    <w:rsid w:val="006E3214"/>
    <w:rsid w:val="007278B1"/>
    <w:rsid w:val="007F53E8"/>
    <w:rsid w:val="008E2FA6"/>
    <w:rsid w:val="00917F0E"/>
    <w:rsid w:val="0096570B"/>
    <w:rsid w:val="0099450B"/>
    <w:rsid w:val="00AB2506"/>
    <w:rsid w:val="00AD3148"/>
    <w:rsid w:val="00B86AA8"/>
    <w:rsid w:val="00C15353"/>
    <w:rsid w:val="00C57363"/>
    <w:rsid w:val="00CB3BB2"/>
    <w:rsid w:val="00D91593"/>
    <w:rsid w:val="00DF14FB"/>
    <w:rsid w:val="00E67A3E"/>
    <w:rsid w:val="00EB6711"/>
    <w:rsid w:val="00EE4E74"/>
    <w:rsid w:val="00EF6575"/>
    <w:rsid w:val="00FF0891"/>
    <w:rsid w:val="00FF7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3DFD0D-F24F-40C1-9DB3-683339B09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7F7A"/>
    <w:pPr>
      <w:spacing w:after="160" w:line="259" w:lineRule="auto"/>
      <w:ind w:firstLine="0"/>
      <w:jc w:val="left"/>
    </w:pPr>
    <w:rPr>
      <w:rFonts w:asciiTheme="minorHAnsi" w:hAnsiTheme="minorHAnsi" w:cstheme="minorBidi"/>
      <w:bCs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4D099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0992"/>
    <w:rPr>
      <w:rFonts w:asciiTheme="majorHAnsi" w:eastAsiaTheme="majorEastAsia" w:hAnsiTheme="majorHAnsi" w:cstheme="majorBidi"/>
      <w:b/>
      <w:bCs w:val="0"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4D0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5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123&amp;n=346512&amp;dst=100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khpk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Бектяшкина Анастасия Владимировна</dc:creator>
  <cp:keywords/>
  <dc:description/>
  <cp:lastModifiedBy>Таратутина Варвара Теймуразовна</cp:lastModifiedBy>
  <cp:revision>26</cp:revision>
  <dcterms:created xsi:type="dcterms:W3CDTF">2022-09-14T07:12:00Z</dcterms:created>
  <dcterms:modified xsi:type="dcterms:W3CDTF">2025-02-26T06:22:00Z</dcterms:modified>
</cp:coreProperties>
</file>